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77193"/>
      <w:bookmarkStart w:id="3" w:name="_Toc15377425"/>
      <w:bookmarkStart w:id="4" w:name="_Toc15378441"/>
      <w:bookmarkStart w:id="5" w:name="_Toc24153"/>
      <w:bookmarkStart w:id="6"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77426"/>
      <w:bookmarkStart w:id="8" w:name="_Toc15378442"/>
      <w:bookmarkStart w:id="9" w:name="_Toc15396476"/>
      <w:bookmarkStart w:id="10" w:name="_Toc15377194"/>
      <w:bookmarkStart w:id="11" w:name="_Toc15396598"/>
      <w:bookmarkStart w:id="12" w:name="_Toc30805"/>
      <w:r>
        <w:rPr>
          <w:rFonts w:hint="eastAsia" w:ascii="方正小标宋简体" w:hAnsi="方正小标宋简体" w:eastAsia="方正小标宋简体" w:cs="方正小标宋简体"/>
          <w:color w:val="auto"/>
          <w:sz w:val="72"/>
          <w:szCs w:val="72"/>
          <w:highlight w:val="none"/>
          <w:lang w:val="en-US" w:eastAsia="zh-CN"/>
        </w:rPr>
        <w:t>巴中市</w:t>
      </w:r>
      <w:bookmarkEnd w:id="0"/>
      <w:bookmarkStart w:id="13" w:name="_Toc15306268"/>
      <w:r>
        <w:rPr>
          <w:rFonts w:hint="eastAsia" w:ascii="方正小标宋简体" w:hAnsi="方正小标宋简体" w:eastAsia="方正小标宋简体" w:cs="方正小标宋简体"/>
          <w:color w:val="auto"/>
          <w:sz w:val="72"/>
          <w:szCs w:val="72"/>
          <w:highlight w:val="none"/>
          <w:lang w:eastAsia="zh-CN"/>
        </w:rPr>
        <w:t>水利局机关</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ascii="黑体" w:hAnsi="黑体" w:eastAsia="黑体" w:cstheme="minorBidi"/>
          <w:color w:val="auto"/>
          <w:sz w:val="28"/>
          <w:szCs w:val="2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10月11</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60118"/>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rPr>
          </w:pPr>
          <w:r>
            <w:fldChar w:fldCharType="begin"/>
          </w:r>
          <w:r>
            <w:instrText xml:space="preserve">TOC \o "1-2" \h \u </w:instrText>
          </w:r>
          <w:r>
            <w:fldChar w:fldCharType="separate"/>
          </w:r>
        </w:p>
        <w:p>
          <w:pPr>
            <w:pStyle w:val="32"/>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_Toc23931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 xml:space="preserve">第一部分 </w:t>
          </w:r>
          <w:r>
            <w:rPr>
              <w:rFonts w:hint="eastAsia" w:ascii="仿宋" w:hAnsi="仿宋" w:eastAsia="仿宋" w:cs="仿宋"/>
              <w:b/>
              <w:sz w:val="24"/>
              <w:szCs w:val="24"/>
              <w:highlight w:val="none"/>
              <w:lang w:eastAsia="zh-CN"/>
            </w:rPr>
            <w:t>单位</w:t>
          </w:r>
          <w:r>
            <w:rPr>
              <w:rFonts w:hint="eastAsia" w:ascii="仿宋" w:hAnsi="仿宋" w:eastAsia="仿宋" w:cs="仿宋"/>
              <w:b/>
              <w:bCs w:val="0"/>
              <w:sz w:val="24"/>
              <w:szCs w:val="24"/>
              <w:highlight w:val="none"/>
            </w:rPr>
            <w:t>概况</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_Toc23931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4</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_Toc32385 </w:instrText>
          </w:r>
          <w:r>
            <w:rPr>
              <w:rFonts w:hint="eastAsia" w:ascii="仿宋" w:hAnsi="仿宋" w:eastAsia="仿宋" w:cs="仿宋"/>
              <w:sz w:val="24"/>
              <w:szCs w:val="24"/>
            </w:rPr>
            <w:fldChar w:fldCharType="separate"/>
          </w:r>
          <w:r>
            <w:rPr>
              <w:rFonts w:hint="eastAsia" w:ascii="仿宋" w:hAnsi="仿宋" w:eastAsia="仿宋" w:cs="仿宋"/>
              <w:bCs w:val="0"/>
              <w:sz w:val="24"/>
              <w:szCs w:val="24"/>
              <w:lang w:eastAsia="zh-CN"/>
            </w:rPr>
            <w:t xml:space="preserve">一、 </w:t>
          </w:r>
          <w:r>
            <w:rPr>
              <w:rFonts w:hint="eastAsia" w:ascii="仿宋" w:hAnsi="仿宋" w:eastAsia="仿宋" w:cs="仿宋"/>
              <w:bCs w:val="0"/>
              <w:sz w:val="24"/>
              <w:szCs w:val="24"/>
              <w:highlight w:val="none"/>
              <w:lang w:eastAsia="zh-CN"/>
            </w:rPr>
            <w:t>主要职责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_Toc32385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_Toc27196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lang w:val="en-US" w:eastAsia="zh-CN"/>
            </w:rPr>
            <w:t>二、机构设置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_Toc27196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_Toc13969 </w:instrText>
          </w:r>
          <w:r>
            <w:rPr>
              <w:rFonts w:hint="eastAsia" w:ascii="仿宋" w:hAnsi="仿宋" w:eastAsia="仿宋" w:cs="仿宋"/>
              <w:b/>
              <w:sz w:val="24"/>
              <w:szCs w:val="24"/>
            </w:rPr>
            <w:fldChar w:fldCharType="separate"/>
          </w:r>
          <w:r>
            <w:rPr>
              <w:rFonts w:hint="eastAsia" w:ascii="仿宋" w:hAnsi="仿宋" w:eastAsia="仿宋" w:cs="仿宋"/>
              <w:b/>
              <w:bCs/>
              <w:sz w:val="24"/>
              <w:szCs w:val="24"/>
              <w:highlight w:val="none"/>
            </w:rPr>
            <w:t xml:space="preserve">第二部分 </w:t>
          </w:r>
          <w:r>
            <w:rPr>
              <w:rFonts w:hint="eastAsia" w:ascii="仿宋" w:hAnsi="仿宋" w:eastAsia="仿宋" w:cs="仿宋"/>
              <w:b/>
              <w:bCs/>
              <w:sz w:val="24"/>
              <w:szCs w:val="24"/>
              <w:highlight w:val="none"/>
              <w:lang w:val="en-US" w:eastAsia="zh-CN"/>
            </w:rPr>
            <w:t>2022年度</w:t>
          </w:r>
          <w:r>
            <w:rPr>
              <w:rFonts w:hint="eastAsia" w:ascii="仿宋" w:hAnsi="仿宋" w:eastAsia="仿宋" w:cs="仿宋"/>
              <w:b/>
              <w:bCs/>
              <w:sz w:val="24"/>
              <w:szCs w:val="24"/>
              <w:highlight w:val="none"/>
              <w:lang w:eastAsia="zh-CN"/>
            </w:rPr>
            <w:t>单位</w:t>
          </w:r>
          <w:r>
            <w:rPr>
              <w:rFonts w:hint="eastAsia" w:ascii="仿宋" w:hAnsi="仿宋" w:eastAsia="仿宋" w:cs="仿宋"/>
              <w:b/>
              <w:bCs/>
              <w:sz w:val="24"/>
              <w:szCs w:val="24"/>
              <w:highlight w:val="none"/>
            </w:rPr>
            <w:t>决算情况说明</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_Toc13969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5</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_Toc28466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一、 </w:t>
          </w:r>
          <w:r>
            <w:rPr>
              <w:rFonts w:hint="eastAsia" w:ascii="仿宋" w:hAnsi="仿宋" w:eastAsia="仿宋" w:cs="仿宋"/>
              <w:sz w:val="24"/>
              <w:szCs w:val="24"/>
              <w:highlight w:val="none"/>
            </w:rPr>
            <w:t>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_Toc28466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_Toc18401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二、 </w:t>
          </w:r>
          <w:r>
            <w:rPr>
              <w:rFonts w:hint="eastAsia" w:ascii="仿宋" w:hAnsi="仿宋" w:eastAsia="仿宋" w:cs="仿宋"/>
              <w:sz w:val="24"/>
              <w:szCs w:val="24"/>
              <w:highlight w:val="none"/>
            </w:rPr>
            <w:t>收入决算情况说明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_Toc18401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_Toc19991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三、 </w:t>
          </w:r>
          <w:r>
            <w:rPr>
              <w:rFonts w:hint="eastAsia" w:ascii="仿宋" w:hAnsi="仿宋" w:eastAsia="仿宋" w:cs="仿宋"/>
              <w:sz w:val="24"/>
              <w:szCs w:val="24"/>
              <w:highlight w:val="none"/>
            </w:rPr>
            <w:t>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_Toc19991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_Toc16957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四、财政拨款收入支出决算总体情况说明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_Toc16957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_Toc21770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五、一般公共预算财政拨款支出决算情况说明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_Toc21770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_Toc17223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六、一般公共预算财政拨款基本支出决算情况说明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_Toc17223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_Toc17676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七、财政拨款“三公”经费支出决算情况说明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_Toc17676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_Toc21677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八、政府性基金预算支出决算情况说明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_Toc21677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_Toc19310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九、 </w:t>
          </w:r>
          <w:r>
            <w:rPr>
              <w:rFonts w:hint="eastAsia" w:ascii="仿宋" w:hAnsi="仿宋" w:eastAsia="仿宋" w:cs="仿宋"/>
              <w:sz w:val="24"/>
              <w:szCs w:val="24"/>
              <w:highlight w:val="none"/>
            </w:rPr>
            <w:t>国有资本经营预算支出决算情况说明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_Toc19310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_Toc2285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十、 </w:t>
          </w:r>
          <w:r>
            <w:rPr>
              <w:rFonts w:hint="eastAsia" w:ascii="仿宋" w:hAnsi="仿宋" w:eastAsia="仿宋" w:cs="仿宋"/>
              <w:sz w:val="24"/>
              <w:szCs w:val="24"/>
              <w:highlight w:val="none"/>
            </w:rPr>
            <w:t>其他重要事项的情况说明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_Toc2285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2"/>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_Toc29468 </w:instrText>
          </w:r>
          <w:r>
            <w:rPr>
              <w:rFonts w:hint="eastAsia" w:ascii="仿宋" w:hAnsi="仿宋" w:eastAsia="仿宋" w:cs="仿宋"/>
              <w:b/>
              <w:sz w:val="24"/>
              <w:szCs w:val="24"/>
            </w:rPr>
            <w:fldChar w:fldCharType="separate"/>
          </w:r>
          <w:r>
            <w:rPr>
              <w:rFonts w:hint="eastAsia" w:ascii="仿宋" w:hAnsi="仿宋" w:eastAsia="仿宋" w:cs="仿宋"/>
              <w:b/>
              <w:sz w:val="24"/>
              <w:szCs w:val="24"/>
            </w:rPr>
            <w:t xml:space="preserve">第三部分 </w:t>
          </w:r>
          <w:r>
            <w:rPr>
              <w:rFonts w:hint="eastAsia" w:ascii="仿宋" w:hAnsi="仿宋" w:eastAsia="仿宋" w:cs="仿宋"/>
              <w:b/>
              <w:sz w:val="24"/>
              <w:szCs w:val="24"/>
              <w:highlight w:val="none"/>
            </w:rPr>
            <w:t>名词解释</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_Toc29468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13</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2"/>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_Toc29883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第四部分 附件</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_Toc29883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15</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2"/>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_Toc23972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第五部分 附表</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_Toc23972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16</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_Toc16284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一、收</w:t>
          </w:r>
          <w:r>
            <w:rPr>
              <w:rFonts w:hint="eastAsia" w:ascii="仿宋" w:hAnsi="仿宋" w:eastAsia="仿宋" w:cs="仿宋"/>
              <w:bCs w:val="0"/>
              <w:sz w:val="24"/>
              <w:szCs w:val="24"/>
              <w:highlight w:val="none"/>
            </w:rPr>
            <w:t>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_Toc16284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_Toc13562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二、收</w:t>
          </w:r>
          <w:r>
            <w:rPr>
              <w:rFonts w:hint="eastAsia" w:ascii="仿宋" w:hAnsi="仿宋" w:eastAsia="仿宋" w:cs="仿宋"/>
              <w:bCs w:val="0"/>
              <w:sz w:val="24"/>
              <w:szCs w:val="24"/>
              <w:highlight w:val="none"/>
            </w:rPr>
            <w:t>入决算表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_Toc13562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_Toc29633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三、</w:t>
          </w:r>
          <w:r>
            <w:rPr>
              <w:rFonts w:hint="eastAsia" w:ascii="仿宋" w:hAnsi="仿宋" w:eastAsia="仿宋" w:cs="仿宋"/>
              <w:sz w:val="24"/>
              <w:szCs w:val="24"/>
              <w:highlight w:val="none"/>
            </w:rPr>
            <w:t>支</w:t>
          </w:r>
          <w:r>
            <w:rPr>
              <w:rFonts w:hint="eastAsia" w:ascii="仿宋" w:hAnsi="仿宋" w:eastAsia="仿宋" w:cs="仿宋"/>
              <w:bCs w:val="0"/>
              <w:sz w:val="24"/>
              <w:szCs w:val="24"/>
              <w:highlight w:val="none"/>
            </w:rPr>
            <w:t>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_Toc29633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_Toc18612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四、</w:t>
          </w:r>
          <w:r>
            <w:rPr>
              <w:rFonts w:hint="eastAsia" w:ascii="仿宋" w:hAnsi="仿宋" w:eastAsia="仿宋" w:cs="仿宋"/>
              <w:sz w:val="24"/>
              <w:szCs w:val="24"/>
              <w:highlight w:val="none"/>
            </w:rPr>
            <w:t>财</w:t>
          </w:r>
          <w:r>
            <w:rPr>
              <w:rFonts w:hint="eastAsia" w:ascii="仿宋" w:hAnsi="仿宋" w:eastAsia="仿宋" w:cs="仿宋"/>
              <w:bCs w:val="0"/>
              <w:sz w:val="24"/>
              <w:szCs w:val="24"/>
              <w:highlight w:val="none"/>
            </w:rPr>
            <w:t>政拨款收入支出决算总表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_Toc18612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_Toc3126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五、</w:t>
          </w:r>
          <w:r>
            <w:rPr>
              <w:rFonts w:hint="eastAsia" w:ascii="仿宋" w:hAnsi="仿宋" w:eastAsia="仿宋" w:cs="仿宋"/>
              <w:sz w:val="24"/>
              <w:szCs w:val="24"/>
              <w:highlight w:val="none"/>
            </w:rPr>
            <w:t>财</w:t>
          </w:r>
          <w:r>
            <w:rPr>
              <w:rFonts w:hint="eastAsia" w:ascii="仿宋" w:hAnsi="仿宋" w:eastAsia="仿宋" w:cs="仿宋"/>
              <w:bCs w:val="0"/>
              <w:sz w:val="24"/>
              <w:szCs w:val="24"/>
              <w:highlight w:val="none"/>
            </w:rPr>
            <w:t>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_Toc3126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_Toc22549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六、</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_Toc22549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_Toc22772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七、</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_Toc22772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_Toc29136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八、</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般公共预算财政拨款基本支出决算表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_Toc29136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_Toc14853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九、</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般公共预算财政拨款项目支出决算表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_Toc14853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_Toc14713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w:t>
          </w:r>
          <w:r>
            <w:rPr>
              <w:rFonts w:hint="eastAsia" w:ascii="仿宋" w:hAnsi="仿宋" w:eastAsia="仿宋" w:cs="仿宋"/>
              <w:sz w:val="24"/>
              <w:szCs w:val="24"/>
              <w:highlight w:val="none"/>
            </w:rPr>
            <w:t>政</w:t>
          </w:r>
          <w:r>
            <w:rPr>
              <w:rFonts w:hint="eastAsia" w:ascii="仿宋" w:hAnsi="仿宋" w:eastAsia="仿宋" w:cs="仿宋"/>
              <w:bCs w:val="0"/>
              <w:sz w:val="24"/>
              <w:szCs w:val="24"/>
              <w:highlight w:val="none"/>
            </w:rPr>
            <w:t>府性基金预算财政拨款收入支出决算表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_Toc14713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_Toc16785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十一、</w:t>
          </w:r>
          <w:r>
            <w:rPr>
              <w:rFonts w:hint="eastAsia" w:ascii="仿宋" w:hAnsi="仿宋" w:eastAsia="仿宋" w:cs="仿宋"/>
              <w:sz w:val="24"/>
              <w:szCs w:val="24"/>
              <w:highlight w:val="none"/>
            </w:rPr>
            <w:t>国</w:t>
          </w:r>
          <w:r>
            <w:rPr>
              <w:rFonts w:hint="eastAsia" w:ascii="仿宋" w:hAnsi="仿宋" w:eastAsia="仿宋" w:cs="仿宋"/>
              <w:bCs w:val="0"/>
              <w:sz w:val="24"/>
              <w:szCs w:val="24"/>
              <w:highlight w:val="none"/>
            </w:rPr>
            <w:t>有资本经营预算</w:t>
          </w:r>
          <w:r>
            <w:rPr>
              <w:rFonts w:hint="eastAsia" w:ascii="仿宋" w:hAnsi="仿宋" w:eastAsia="仿宋" w:cs="仿宋"/>
              <w:bCs w:val="0"/>
              <w:sz w:val="24"/>
              <w:szCs w:val="24"/>
              <w:highlight w:val="none"/>
              <w:lang w:eastAsia="zh-CN"/>
            </w:rPr>
            <w:t>财政拨款收入</w:t>
          </w:r>
          <w:r>
            <w:rPr>
              <w:rFonts w:hint="eastAsia" w:ascii="仿宋" w:hAnsi="仿宋" w:eastAsia="仿宋" w:cs="仿宋"/>
              <w:bCs w:val="0"/>
              <w:sz w:val="24"/>
              <w:szCs w:val="24"/>
              <w:highlight w:val="none"/>
            </w:rPr>
            <w:t>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_Toc16785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_Toc10717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十二、</w:t>
          </w:r>
          <w:r>
            <w:rPr>
              <w:rFonts w:hint="eastAsia" w:ascii="仿宋" w:hAnsi="仿宋" w:eastAsia="仿宋" w:cs="仿宋"/>
              <w:bCs w:val="0"/>
              <w:sz w:val="24"/>
              <w:szCs w:val="24"/>
              <w:highlight w:val="none"/>
              <w:lang w:eastAsia="zh-CN"/>
            </w:rPr>
            <w:t>国有资本经营预算财政拨款支出决算表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_Toc10717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_Toc29550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十三、</w:t>
          </w:r>
          <w:r>
            <w:rPr>
              <w:rFonts w:hint="eastAsia" w:ascii="仿宋" w:hAnsi="仿宋" w:eastAsia="仿宋" w:cs="仿宋"/>
              <w:bCs w:val="0"/>
              <w:sz w:val="24"/>
              <w:szCs w:val="24"/>
              <w:highlight w:val="none"/>
              <w:lang w:eastAsia="zh-CN"/>
            </w:rPr>
            <w:t>财政拨款“三公”经费支出决算表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_Toc29550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r>
            <w:rPr>
              <w:b/>
            </w:rPr>
            <w:fldChar w:fldCharType="end"/>
          </w:r>
          <w:bookmarkStart w:id="14" w:name="_Toc15396599"/>
          <w:bookmarkStart w:id="15" w:name="_Toc15377196"/>
        </w:p>
      </w:sdtContent>
    </w:sdt>
    <w:p>
      <w:pPr>
        <w:rPr>
          <w:rFonts w:ascii="仿宋" w:hAnsi="仿宋" w:eastAsia="仿宋"/>
          <w:b/>
          <w:color w:val="auto"/>
          <w:sz w:val="24"/>
          <w:highlight w:val="none"/>
        </w:rPr>
      </w:pPr>
      <w:r>
        <w:rPr>
          <w:rFonts w:ascii="仿宋" w:hAnsi="仿宋" w:eastAsia="仿宋"/>
          <w:b/>
          <w:color w:val="auto"/>
          <w:sz w:val="24"/>
          <w:highlight w:val="none"/>
        </w:rPr>
        <w:br w:type="page"/>
      </w:r>
    </w:p>
    <w:p>
      <w:pPr>
        <w:bidi w:val="0"/>
        <w:jc w:val="left"/>
        <w:rPr>
          <w:rFonts w:ascii="Times New Roman" w:hAnsi="Times New Roman" w:eastAsia="宋体" w:cs="Times New Roman"/>
          <w:kern w:val="2"/>
          <w:sz w:val="21"/>
          <w:szCs w:val="24"/>
          <w:lang w:val="en-US" w:eastAsia="zh-CN" w:bidi="ar-SA"/>
        </w:rPr>
      </w:pPr>
    </w:p>
    <w:p>
      <w:pPr>
        <w:pStyle w:val="3"/>
        <w:jc w:val="center"/>
        <w:rPr>
          <w:rFonts w:ascii="黑体" w:eastAsia="黑体"/>
          <w:color w:val="auto"/>
          <w:sz w:val="32"/>
          <w:szCs w:val="32"/>
          <w:highlight w:val="none"/>
        </w:rPr>
      </w:pPr>
      <w:bookmarkStart w:id="16" w:name="_Toc23931"/>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4"/>
      <w:bookmarkEnd w:id="15"/>
      <w:bookmarkEnd w:id="16"/>
    </w:p>
    <w:p>
      <w:pPr>
        <w:pStyle w:val="4"/>
        <w:numPr>
          <w:ilvl w:val="0"/>
          <w:numId w:val="1"/>
        </w:numPr>
        <w:rPr>
          <w:rStyle w:val="27"/>
          <w:rFonts w:hint="eastAsia" w:ascii="黑体" w:hAnsi="黑体" w:eastAsia="黑体"/>
          <w:b w:val="0"/>
          <w:bCs w:val="0"/>
          <w:color w:val="auto"/>
          <w:highlight w:val="none"/>
          <w:lang w:eastAsia="zh-CN"/>
        </w:rPr>
      </w:pPr>
      <w:bookmarkStart w:id="17" w:name="_Toc32385"/>
      <w:bookmarkStart w:id="18" w:name="_Toc15377197"/>
      <w:bookmarkStart w:id="19" w:name="_Toc15396600"/>
      <w:r>
        <w:rPr>
          <w:rStyle w:val="27"/>
          <w:rFonts w:hint="eastAsia" w:ascii="黑体" w:hAnsi="黑体" w:eastAsia="黑体"/>
          <w:b w:val="0"/>
          <w:bCs w:val="0"/>
          <w:color w:val="auto"/>
          <w:highlight w:val="none"/>
          <w:lang w:eastAsia="zh-CN"/>
        </w:rPr>
        <w:t>主要职责</w:t>
      </w:r>
      <w:bookmarkEnd w:id="17"/>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贯彻落实国家、省、市水利工作的方针、政策和法律、法规，起草有关地方性法规和规章，拟订全市水利行政管理的实施细则和管理办法；拟订全市水利战略发展规划，组织编制全市水资源综合规划、水资源保护规划，并负责指导实施和监督；负责全市水资源的合理开发利用；指导水资源保护工作；负责节约用水工作；负责落实综合防汛减灾规划相关要求，组织编制洪水干旱灾害防治规划并指导实施；指导农村水利工作；负责水土保持工作；负责重大涉水违法事件的查处，组织指导水政监察和水行政执法，协调和仲裁跨区域水事纠纷；负责指导编制大中型水利水电工程移民安置规划大纲，组织大中型水利水电工程移民安置工作；开展水利科技工作；完成市委和市政府交办的其他任务。</w:t>
      </w:r>
    </w:p>
    <w:p>
      <w:pPr>
        <w:pStyle w:val="4"/>
        <w:numPr>
          <w:ilvl w:val="0"/>
          <w:numId w:val="0"/>
        </w:numPr>
        <w:rPr>
          <w:rFonts w:hint="eastAsia" w:ascii="黑体" w:hAnsi="黑体" w:eastAsia="黑体"/>
          <w:b w:val="0"/>
          <w:color w:val="auto"/>
          <w:highlight w:val="none"/>
          <w:lang w:val="en-US" w:eastAsia="zh-CN"/>
        </w:rPr>
      </w:pPr>
      <w:bookmarkStart w:id="20" w:name="_Toc27196"/>
      <w:r>
        <w:rPr>
          <w:rFonts w:hint="eastAsia" w:ascii="黑体" w:hAnsi="黑体" w:eastAsia="黑体"/>
          <w:b w:val="0"/>
          <w:color w:val="auto"/>
          <w:highlight w:val="none"/>
          <w:lang w:val="en-US" w:eastAsia="zh-CN"/>
        </w:rPr>
        <w:t>二、机构设置</w:t>
      </w:r>
      <w:bookmarkEnd w:id="20"/>
    </w:p>
    <w:bookmarkEnd w:id="18"/>
    <w:bookmarkEnd w:id="19"/>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 xml:space="preserve"> </w:t>
      </w:r>
      <w:r>
        <w:rPr>
          <w:rFonts w:hint="eastAsia" w:ascii="Times New Roman" w:hAnsi="Times New Roman" w:eastAsia="方正仿宋_GBK" w:cs="Times New Roman"/>
          <w:b w:val="0"/>
          <w:bCs w:val="0"/>
          <w:sz w:val="32"/>
          <w:szCs w:val="32"/>
          <w:lang w:eastAsia="zh-CN"/>
        </w:rPr>
        <w:t>巴中市水利局机关</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年财政供给人员</w:t>
      </w:r>
      <w:r>
        <w:rPr>
          <w:rFonts w:hint="default" w:eastAsia="方正仿宋_GBK" w:cs="Times New Roman"/>
          <w:sz w:val="32"/>
          <w:szCs w:val="32"/>
          <w:lang w:val="en" w:eastAsia="zh-CN"/>
        </w:rPr>
        <w:t>51</w:t>
      </w:r>
      <w:r>
        <w:rPr>
          <w:rFonts w:hint="default" w:ascii="Times New Roman" w:hAnsi="Times New Roman" w:eastAsia="方正仿宋_GBK" w:cs="Times New Roman"/>
          <w:sz w:val="32"/>
          <w:szCs w:val="32"/>
        </w:rPr>
        <w:t>人，供给车辆</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其中行政单位</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个</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下属二级预算单位</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个</w:t>
      </w:r>
      <w:r>
        <w:rPr>
          <w:rFonts w:hint="eastAsia" w:ascii="Times New Roman" w:hAnsi="Times New Roman" w:eastAsia="方正仿宋_GBK" w:cs="Times New Roman"/>
          <w:sz w:val="32"/>
          <w:szCs w:val="32"/>
          <w:lang w:eastAsia="zh-CN"/>
        </w:rPr>
        <w:t>。其中：</w:t>
      </w:r>
      <w:r>
        <w:rPr>
          <w:rFonts w:hint="default" w:ascii="Times New Roman" w:hAnsi="Times New Roman" w:eastAsia="方正仿宋_GBK" w:cs="Times New Roman"/>
          <w:sz w:val="32"/>
          <w:szCs w:val="32"/>
        </w:rPr>
        <w:t>参照公务员法管理的事业单位</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个，其他事业单位</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个</w:t>
      </w:r>
      <w:r>
        <w:rPr>
          <w:rFonts w:hint="default" w:eastAsia="方正仿宋_GBK" w:cs="Times New Roman"/>
          <w:sz w:val="32"/>
          <w:szCs w:val="32"/>
          <w:lang w:val="en" w:eastAsia="zh-CN"/>
        </w:rPr>
        <w:t>;</w:t>
      </w:r>
      <w:r>
        <w:rPr>
          <w:rFonts w:hint="eastAsia" w:ascii="Times New Roman" w:hAnsi="Times New Roman" w:eastAsia="方正仿宋_GBK" w:cs="Times New Roman"/>
          <w:sz w:val="32"/>
          <w:szCs w:val="32"/>
          <w:lang w:val="en-US" w:eastAsia="zh-Hans"/>
        </w:rPr>
        <w:t>主要包括：巴中市水利局机关、巴中市水务综合监察支队、巴中市河湖管理保护中心、巴中市水务工程质量安全监督站、巴中市柳津湖运行保护中心。</w:t>
      </w:r>
    </w:p>
    <w:p>
      <w:pPr>
        <w:pStyle w:val="3"/>
        <w:ind w:right="440"/>
        <w:jc w:val="center"/>
        <w:rPr>
          <w:rStyle w:val="26"/>
          <w:rFonts w:ascii="黑体" w:hAnsi="黑体" w:eastAsia="黑体"/>
          <w:b w:val="0"/>
          <w:bCs/>
          <w:color w:val="auto"/>
          <w:highlight w:val="none"/>
        </w:rPr>
      </w:pPr>
      <w:bookmarkStart w:id="21" w:name="_Toc15396602"/>
      <w:bookmarkStart w:id="22" w:name="_Toc15377204"/>
      <w:bookmarkStart w:id="23" w:name="_Toc13969"/>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21"/>
      <w:bookmarkEnd w:id="22"/>
      <w:bookmarkEnd w:id="23"/>
    </w:p>
    <w:p>
      <w:pPr>
        <w:rPr>
          <w:color w:val="auto"/>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4" w:name="_Toc28466"/>
      <w:bookmarkStart w:id="25" w:name="_Toc15377205"/>
      <w:bookmarkStart w:id="26" w:name="_Toc15396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4"/>
      <w:bookmarkEnd w:id="25"/>
      <w:bookmarkEnd w:id="26"/>
    </w:p>
    <w:p>
      <w:pPr>
        <w:spacing w:line="600" w:lineRule="exact"/>
        <w:ind w:firstLine="640" w:firstLineChars="200"/>
        <w:rPr>
          <w:rFonts w:hint="eastAsia" w:ascii="仿宋" w:hAnsi="仿宋" w:eastAsia="仿宋" w:cs="Times New Roman"/>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入总计</w:t>
      </w:r>
      <w:r>
        <w:rPr>
          <w:rFonts w:hint="eastAsia" w:ascii="仿宋" w:hAnsi="仿宋" w:eastAsia="仿宋"/>
          <w:color w:val="auto"/>
          <w:sz w:val="32"/>
          <w:szCs w:val="32"/>
          <w:highlight w:val="none"/>
          <w:lang w:val="en-US" w:eastAsia="zh-CN"/>
        </w:rPr>
        <w:t>9394.93万元，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w:t>
      </w:r>
      <w:r>
        <w:rPr>
          <w:rFonts w:hint="eastAsia" w:ascii="仿宋" w:hAnsi="仿宋" w:eastAsia="仿宋" w:cs="Times New Roman"/>
          <w:color w:val="auto"/>
          <w:sz w:val="32"/>
          <w:szCs w:val="32"/>
          <w:highlight w:val="none"/>
        </w:rPr>
        <w:t>总计减少</w:t>
      </w:r>
      <w:r>
        <w:rPr>
          <w:rFonts w:hint="eastAsia" w:ascii="仿宋" w:hAnsi="仿宋" w:eastAsia="仿宋" w:cs="Times New Roman"/>
          <w:color w:val="auto"/>
          <w:sz w:val="32"/>
          <w:szCs w:val="32"/>
          <w:highlight w:val="none"/>
          <w:lang w:val="en-US" w:eastAsia="zh-CN"/>
        </w:rPr>
        <w:t>2771.7</w:t>
      </w:r>
      <w:r>
        <w:rPr>
          <w:rFonts w:hint="eastAsia" w:ascii="仿宋" w:hAnsi="仿宋" w:eastAsia="仿宋" w:cs="Times New Roman"/>
          <w:color w:val="auto"/>
          <w:sz w:val="32"/>
          <w:szCs w:val="32"/>
          <w:highlight w:val="none"/>
        </w:rPr>
        <w:t>万元，下降</w:t>
      </w:r>
      <w:r>
        <w:rPr>
          <w:rFonts w:hint="eastAsia" w:ascii="仿宋" w:hAnsi="仿宋" w:eastAsia="仿宋" w:cs="Times New Roman"/>
          <w:color w:val="auto"/>
          <w:sz w:val="32"/>
          <w:szCs w:val="32"/>
          <w:highlight w:val="none"/>
          <w:lang w:val="en-US" w:eastAsia="zh-CN"/>
        </w:rPr>
        <w:t>22.78</w:t>
      </w:r>
      <w:r>
        <w:rPr>
          <w:rFonts w:hint="eastAsia" w:ascii="仿宋" w:hAnsi="仿宋" w:eastAsia="仿宋" w:cs="Times New Roman"/>
          <w:color w:val="auto"/>
          <w:sz w:val="32"/>
          <w:szCs w:val="32"/>
          <w:highlight w:val="none"/>
        </w:rPr>
        <w:t>%，主要变动原因是巴河二期防洪工程资金减少</w:t>
      </w:r>
      <w:r>
        <w:rPr>
          <w:rFonts w:hint="eastAsia" w:ascii="仿宋" w:hAnsi="仿宋" w:eastAsia="仿宋" w:cs="Times New Roman"/>
          <w:color w:val="auto"/>
          <w:sz w:val="32"/>
          <w:szCs w:val="32"/>
          <w:highlight w:val="none"/>
          <w:lang w:eastAsia="zh-CN"/>
        </w:rPr>
        <w:t>。</w:t>
      </w:r>
    </w:p>
    <w:p>
      <w:pPr>
        <w:spacing w:line="600" w:lineRule="exact"/>
        <w:ind w:firstLine="640" w:firstLineChars="200"/>
        <w:rPr>
          <w:rFonts w:hint="eastAsia"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20</w:t>
      </w:r>
      <w:r>
        <w:rPr>
          <w:rFonts w:hint="eastAsia" w:ascii="仿宋" w:hAnsi="仿宋" w:eastAsia="仿宋" w:cs="Times New Roman"/>
          <w:color w:val="auto"/>
          <w:sz w:val="32"/>
          <w:szCs w:val="32"/>
          <w:highlight w:val="none"/>
          <w:lang w:val="en-US" w:eastAsia="zh-CN"/>
        </w:rPr>
        <w:t>22</w:t>
      </w:r>
      <w:r>
        <w:rPr>
          <w:rFonts w:hint="eastAsia" w:ascii="仿宋" w:hAnsi="仿宋" w:eastAsia="仿宋" w:cs="Times New Roman"/>
          <w:color w:val="auto"/>
          <w:sz w:val="32"/>
          <w:szCs w:val="32"/>
          <w:highlight w:val="none"/>
        </w:rPr>
        <w:t>年度</w:t>
      </w:r>
      <w:r>
        <w:rPr>
          <w:rFonts w:hint="eastAsia" w:ascii="仿宋" w:hAnsi="仿宋" w:eastAsia="仿宋" w:cs="Times New Roman"/>
          <w:color w:val="auto"/>
          <w:sz w:val="32"/>
          <w:szCs w:val="32"/>
          <w:highlight w:val="none"/>
          <w:lang w:eastAsia="zh-CN"/>
        </w:rPr>
        <w:t>支出总计</w:t>
      </w:r>
      <w:r>
        <w:rPr>
          <w:rFonts w:hint="eastAsia" w:ascii="仿宋" w:hAnsi="仿宋" w:eastAsia="仿宋" w:cs="Times New Roman"/>
          <w:color w:val="auto"/>
          <w:sz w:val="32"/>
          <w:szCs w:val="32"/>
          <w:highlight w:val="none"/>
          <w:lang w:val="en-US" w:eastAsia="zh-CN"/>
        </w:rPr>
        <w:t>13909.07万元,</w:t>
      </w:r>
      <w:r>
        <w:rPr>
          <w:rFonts w:hint="eastAsia" w:ascii="仿宋" w:hAnsi="仿宋" w:eastAsia="仿宋" w:cs="Times New Roman"/>
          <w:color w:val="auto"/>
          <w:sz w:val="32"/>
          <w:szCs w:val="32"/>
          <w:highlight w:val="none"/>
        </w:rPr>
        <w:t>与2021年相比，</w:t>
      </w:r>
      <w:r>
        <w:rPr>
          <w:rFonts w:hint="eastAsia" w:ascii="仿宋" w:hAnsi="仿宋" w:eastAsia="仿宋" w:cs="Times New Roman"/>
          <w:color w:val="auto"/>
          <w:sz w:val="32"/>
          <w:szCs w:val="32"/>
          <w:highlight w:val="none"/>
          <w:lang w:eastAsia="zh-CN"/>
        </w:rPr>
        <w:t>支出</w:t>
      </w:r>
      <w:r>
        <w:rPr>
          <w:rFonts w:hint="eastAsia" w:ascii="仿宋" w:hAnsi="仿宋" w:eastAsia="仿宋" w:cs="Times New Roman"/>
          <w:color w:val="auto"/>
          <w:sz w:val="32"/>
          <w:szCs w:val="32"/>
          <w:highlight w:val="none"/>
        </w:rPr>
        <w:t>总计</w:t>
      </w:r>
      <w:r>
        <w:rPr>
          <w:rFonts w:hint="eastAsia" w:ascii="仿宋" w:hAnsi="仿宋" w:eastAsia="仿宋" w:cs="Times New Roman"/>
          <w:color w:val="auto"/>
          <w:sz w:val="32"/>
          <w:szCs w:val="32"/>
          <w:highlight w:val="none"/>
          <w:lang w:eastAsia="zh-CN"/>
        </w:rPr>
        <w:t>增加</w:t>
      </w:r>
      <w:r>
        <w:rPr>
          <w:rFonts w:hint="eastAsia" w:ascii="仿宋" w:hAnsi="仿宋" w:eastAsia="仿宋" w:cs="Times New Roman"/>
          <w:color w:val="auto"/>
          <w:sz w:val="32"/>
          <w:szCs w:val="32"/>
          <w:highlight w:val="none"/>
          <w:lang w:val="en-US" w:eastAsia="zh-CN"/>
        </w:rPr>
        <w:t>4013.46</w:t>
      </w:r>
      <w:r>
        <w:rPr>
          <w:rFonts w:hint="eastAsia" w:ascii="仿宋" w:hAnsi="仿宋" w:eastAsia="仿宋" w:cs="Times New Roman"/>
          <w:color w:val="auto"/>
          <w:sz w:val="32"/>
          <w:szCs w:val="32"/>
          <w:highlight w:val="none"/>
        </w:rPr>
        <w:t>万元，</w:t>
      </w:r>
      <w:r>
        <w:rPr>
          <w:rFonts w:hint="eastAsia" w:ascii="仿宋" w:hAnsi="仿宋" w:eastAsia="仿宋" w:cs="Times New Roman"/>
          <w:color w:val="auto"/>
          <w:sz w:val="32"/>
          <w:szCs w:val="32"/>
          <w:highlight w:val="none"/>
          <w:lang w:eastAsia="zh-CN"/>
        </w:rPr>
        <w:t>增长</w:t>
      </w:r>
      <w:r>
        <w:rPr>
          <w:rFonts w:hint="eastAsia" w:ascii="仿宋" w:hAnsi="仿宋" w:eastAsia="仿宋" w:cs="Times New Roman"/>
          <w:color w:val="auto"/>
          <w:sz w:val="32"/>
          <w:szCs w:val="32"/>
          <w:highlight w:val="none"/>
          <w:lang w:val="en-US" w:eastAsia="zh-CN"/>
        </w:rPr>
        <w:t>40.56</w:t>
      </w:r>
      <w:r>
        <w:rPr>
          <w:rFonts w:hint="eastAsia" w:ascii="仿宋" w:hAnsi="仿宋" w:eastAsia="仿宋" w:cs="Times New Roman"/>
          <w:color w:val="auto"/>
          <w:sz w:val="32"/>
          <w:szCs w:val="32"/>
          <w:highlight w:val="none"/>
        </w:rPr>
        <w:t>%，主要变动原因是合并下属单位，人员、项目经费支出增加。</w:t>
      </w:r>
    </w:p>
    <w:p>
      <w:pPr>
        <w:jc w:val="center"/>
        <w:rPr>
          <w:rFonts w:hint="eastAsia"/>
          <w:lang w:eastAsia="zh-CN"/>
        </w:rPr>
      </w:pPr>
      <w:r>
        <w:drawing>
          <wp:inline distT="0" distB="0" distL="114300" distR="114300">
            <wp:extent cx="4048760" cy="3352165"/>
            <wp:effectExtent l="4445" t="4445" r="23495" b="1524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1920" w:firstLineChars="600"/>
        <w:jc w:val="both"/>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7" w:name="_Toc15377206"/>
      <w:bookmarkStart w:id="28" w:name="_Toc18401"/>
      <w:bookmarkStart w:id="29" w:name="_Toc1539660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olor w:val="auto"/>
          <w:sz w:val="32"/>
          <w:szCs w:val="32"/>
          <w:highlight w:val="none"/>
        </w:rPr>
      </w:pPr>
      <w:bookmarkStart w:id="30" w:name="_Toc25556"/>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9394.93</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1614.93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17.19</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7780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82.81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0"/>
    </w:p>
    <w:p>
      <w:pPr>
        <w:jc w:val="center"/>
      </w:pPr>
      <w:r>
        <w:drawing>
          <wp:inline distT="0" distB="0" distL="114300" distR="114300">
            <wp:extent cx="2991485" cy="2352675"/>
            <wp:effectExtent l="4445" t="4445" r="13970" b="50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2560" w:firstLineChars="8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1" w:name="_Toc15377207"/>
      <w:bookmarkStart w:id="32" w:name="_Toc15396605"/>
      <w:bookmarkStart w:id="33" w:name="_Toc19991"/>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31"/>
      <w:bookmarkEnd w:id="32"/>
      <w:bookmarkEnd w:id="33"/>
    </w:p>
    <w:p>
      <w:pPr>
        <w:spacing w:line="600" w:lineRule="exact"/>
        <w:ind w:firstLine="640" w:firstLineChars="200"/>
        <w:outlineLvl w:val="1"/>
        <w:rPr>
          <w:rFonts w:ascii="仿宋" w:hAnsi="仿宋" w:eastAsia="仿宋"/>
          <w:color w:val="auto"/>
          <w:sz w:val="32"/>
          <w:szCs w:val="32"/>
          <w:highlight w:val="none"/>
          <w:shd w:val="pct10" w:color="auto" w:fill="FFFFFF"/>
        </w:rPr>
      </w:pPr>
      <w:bookmarkStart w:id="34" w:name="_Toc2758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default" w:ascii="仿宋" w:hAnsi="仿宋" w:eastAsia="仿宋"/>
          <w:color w:val="auto"/>
          <w:sz w:val="32"/>
          <w:szCs w:val="32"/>
          <w:highlight w:val="none"/>
          <w:lang w:val="en-US"/>
        </w:rPr>
        <w:t>13909.07</w:t>
      </w:r>
      <w:r>
        <w:rPr>
          <w:rFonts w:hint="eastAsia" w:ascii="仿宋" w:hAnsi="仿宋" w:eastAsia="仿宋"/>
          <w:color w:val="auto"/>
          <w:sz w:val="32"/>
          <w:szCs w:val="32"/>
          <w:highlight w:val="none"/>
        </w:rPr>
        <w:t>万元，其中：基本支出</w:t>
      </w:r>
      <w:r>
        <w:rPr>
          <w:rFonts w:hint="default" w:ascii="仿宋" w:hAnsi="仿宋" w:eastAsia="仿宋"/>
          <w:color w:val="auto"/>
          <w:sz w:val="32"/>
          <w:szCs w:val="32"/>
          <w:highlight w:val="none"/>
          <w:lang w:val="en-US"/>
        </w:rPr>
        <w:t>1092.59</w:t>
      </w:r>
      <w:r>
        <w:rPr>
          <w:rFonts w:hint="eastAsia" w:ascii="仿宋" w:hAnsi="仿宋" w:eastAsia="仿宋"/>
          <w:color w:val="auto"/>
          <w:sz w:val="32"/>
          <w:szCs w:val="32"/>
          <w:highlight w:val="none"/>
        </w:rPr>
        <w:t>万元，占</w:t>
      </w:r>
      <w:r>
        <w:rPr>
          <w:rFonts w:hint="default" w:ascii="仿宋" w:hAnsi="仿宋" w:eastAsia="仿宋"/>
          <w:color w:val="auto"/>
          <w:sz w:val="32"/>
          <w:szCs w:val="32"/>
          <w:highlight w:val="none"/>
          <w:lang w:val="en-US"/>
        </w:rPr>
        <w:t>7.86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default" w:ascii="仿宋" w:hAnsi="仿宋" w:eastAsia="仿宋"/>
          <w:color w:val="auto"/>
          <w:sz w:val="32"/>
          <w:szCs w:val="32"/>
          <w:highlight w:val="none"/>
          <w:lang w:val="en-US"/>
        </w:rPr>
        <w:t>12816.49</w:t>
      </w:r>
      <w:r>
        <w:rPr>
          <w:rFonts w:hint="eastAsia" w:ascii="仿宋" w:hAnsi="仿宋" w:eastAsia="仿宋"/>
          <w:color w:val="auto"/>
          <w:sz w:val="32"/>
          <w:szCs w:val="32"/>
          <w:highlight w:val="none"/>
        </w:rPr>
        <w:t>万元，占</w:t>
      </w:r>
      <w:r>
        <w:rPr>
          <w:rFonts w:hint="default" w:ascii="仿宋" w:hAnsi="仿宋" w:eastAsia="仿宋"/>
          <w:color w:val="auto"/>
          <w:sz w:val="32"/>
          <w:szCs w:val="32"/>
          <w:highlight w:val="none"/>
          <w:lang w:val="en-US"/>
        </w:rPr>
        <w:t>92.14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4"/>
    </w:p>
    <w:p>
      <w:pPr>
        <w:jc w:val="center"/>
      </w:pPr>
      <w:r>
        <w:drawing>
          <wp:inline distT="0" distB="0" distL="114300" distR="114300">
            <wp:extent cx="3124835" cy="2501900"/>
            <wp:effectExtent l="4445" t="4445" r="13970" b="825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2240" w:firstLineChars="700"/>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27"/>
          <w:rFonts w:ascii="黑体" w:hAnsi="黑体" w:eastAsia="黑体"/>
          <w:b w:val="0"/>
          <w:color w:val="auto"/>
          <w:highlight w:val="none"/>
        </w:rPr>
      </w:pPr>
      <w:bookmarkStart w:id="35" w:name="_Toc16957"/>
      <w:bookmarkStart w:id="36" w:name="_Toc15396606"/>
      <w:bookmarkStart w:id="37" w:name="_Toc15377208"/>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35"/>
      <w:bookmarkEnd w:id="36"/>
      <w:bookmarkEnd w:id="37"/>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9394.93</w:t>
      </w:r>
      <w:r>
        <w:rPr>
          <w:rFonts w:hint="eastAsia" w:ascii="仿宋" w:hAnsi="仿宋" w:eastAsia="仿宋"/>
          <w:color w:val="auto"/>
          <w:sz w:val="32"/>
          <w:szCs w:val="32"/>
          <w:highlight w:val="none"/>
        </w:rPr>
        <w:t>万元。与2021年相比，收入总计减少2771.7万元，下降22.78%，主要变动原因是巴河二期防洪工程资金减少。</w:t>
      </w:r>
    </w:p>
    <w:p>
      <w:pPr>
        <w:spacing w:line="600" w:lineRule="exact"/>
        <w:ind w:firstLine="640" w:firstLineChars="200"/>
      </w:pPr>
      <w:r>
        <w:rPr>
          <w:rFonts w:hint="eastAsia" w:ascii="仿宋" w:hAnsi="仿宋" w:eastAsia="仿宋" w:cs="Times New Roman"/>
          <w:color w:val="auto"/>
          <w:sz w:val="32"/>
          <w:szCs w:val="32"/>
          <w:highlight w:val="none"/>
        </w:rPr>
        <w:t>20</w:t>
      </w:r>
      <w:r>
        <w:rPr>
          <w:rFonts w:hint="eastAsia" w:ascii="仿宋" w:hAnsi="仿宋" w:eastAsia="仿宋" w:cs="Times New Roman"/>
          <w:color w:val="auto"/>
          <w:sz w:val="32"/>
          <w:szCs w:val="32"/>
          <w:highlight w:val="none"/>
          <w:lang w:val="en-US" w:eastAsia="zh-CN"/>
        </w:rPr>
        <w:t>22</w:t>
      </w:r>
      <w:r>
        <w:rPr>
          <w:rFonts w:hint="eastAsia" w:ascii="仿宋" w:hAnsi="仿宋" w:eastAsia="仿宋" w:cs="Times New Roman"/>
          <w:color w:val="auto"/>
          <w:sz w:val="32"/>
          <w:szCs w:val="32"/>
          <w:highlight w:val="none"/>
        </w:rPr>
        <w:t>年</w:t>
      </w:r>
      <w:r>
        <w:rPr>
          <w:rFonts w:hint="eastAsia" w:ascii="仿宋" w:hAnsi="仿宋" w:eastAsia="仿宋" w:cs="Times New Roman"/>
          <w:color w:val="auto"/>
          <w:sz w:val="32"/>
          <w:szCs w:val="32"/>
          <w:highlight w:val="none"/>
          <w:lang w:eastAsia="zh-CN"/>
        </w:rPr>
        <w:t>财政拨款支出总计</w:t>
      </w:r>
      <w:r>
        <w:rPr>
          <w:rFonts w:hint="eastAsia" w:ascii="仿宋" w:hAnsi="仿宋" w:eastAsia="仿宋" w:cs="Times New Roman"/>
          <w:color w:val="auto"/>
          <w:sz w:val="32"/>
          <w:szCs w:val="32"/>
          <w:highlight w:val="none"/>
          <w:lang w:val="en-US" w:eastAsia="zh-CN"/>
        </w:rPr>
        <w:t>13909.07万元,</w:t>
      </w:r>
      <w:r>
        <w:rPr>
          <w:rFonts w:hint="eastAsia" w:ascii="仿宋" w:hAnsi="仿宋" w:eastAsia="仿宋" w:cs="Times New Roman"/>
          <w:color w:val="auto"/>
          <w:sz w:val="32"/>
          <w:szCs w:val="32"/>
          <w:highlight w:val="none"/>
        </w:rPr>
        <w:t>与2021年相比，</w:t>
      </w:r>
      <w:r>
        <w:rPr>
          <w:rFonts w:hint="eastAsia" w:ascii="仿宋" w:hAnsi="仿宋" w:eastAsia="仿宋" w:cs="Times New Roman"/>
          <w:color w:val="auto"/>
          <w:sz w:val="32"/>
          <w:szCs w:val="32"/>
          <w:highlight w:val="none"/>
          <w:lang w:eastAsia="zh-CN"/>
        </w:rPr>
        <w:t>财政拨款支出</w:t>
      </w:r>
      <w:r>
        <w:rPr>
          <w:rFonts w:hint="eastAsia" w:ascii="仿宋" w:hAnsi="仿宋" w:eastAsia="仿宋" w:cs="Times New Roman"/>
          <w:color w:val="auto"/>
          <w:sz w:val="32"/>
          <w:szCs w:val="32"/>
          <w:highlight w:val="none"/>
        </w:rPr>
        <w:t>总计</w:t>
      </w:r>
      <w:r>
        <w:rPr>
          <w:rFonts w:hint="eastAsia" w:ascii="仿宋" w:hAnsi="仿宋" w:eastAsia="仿宋" w:cs="Times New Roman"/>
          <w:color w:val="auto"/>
          <w:sz w:val="32"/>
          <w:szCs w:val="32"/>
          <w:highlight w:val="none"/>
          <w:lang w:eastAsia="zh-CN"/>
        </w:rPr>
        <w:t>增加</w:t>
      </w:r>
      <w:r>
        <w:rPr>
          <w:rFonts w:hint="eastAsia" w:ascii="仿宋" w:hAnsi="仿宋" w:eastAsia="仿宋" w:cs="Times New Roman"/>
          <w:color w:val="auto"/>
          <w:sz w:val="32"/>
          <w:szCs w:val="32"/>
          <w:highlight w:val="none"/>
          <w:lang w:val="en-US" w:eastAsia="zh-CN"/>
        </w:rPr>
        <w:t>4013.46</w:t>
      </w:r>
      <w:r>
        <w:rPr>
          <w:rFonts w:hint="eastAsia" w:ascii="仿宋" w:hAnsi="仿宋" w:eastAsia="仿宋" w:cs="Times New Roman"/>
          <w:color w:val="auto"/>
          <w:sz w:val="32"/>
          <w:szCs w:val="32"/>
          <w:highlight w:val="none"/>
        </w:rPr>
        <w:t>万元，</w:t>
      </w:r>
      <w:r>
        <w:rPr>
          <w:rFonts w:hint="eastAsia" w:ascii="仿宋" w:hAnsi="仿宋" w:eastAsia="仿宋" w:cs="Times New Roman"/>
          <w:color w:val="auto"/>
          <w:sz w:val="32"/>
          <w:szCs w:val="32"/>
          <w:highlight w:val="none"/>
          <w:lang w:eastAsia="zh-CN"/>
        </w:rPr>
        <w:t>增长</w:t>
      </w:r>
      <w:r>
        <w:rPr>
          <w:rFonts w:hint="eastAsia" w:ascii="仿宋" w:hAnsi="仿宋" w:eastAsia="仿宋" w:cs="Times New Roman"/>
          <w:color w:val="auto"/>
          <w:sz w:val="32"/>
          <w:szCs w:val="32"/>
          <w:highlight w:val="none"/>
          <w:lang w:val="en-US" w:eastAsia="zh-CN"/>
        </w:rPr>
        <w:t>40.56</w:t>
      </w:r>
      <w:r>
        <w:rPr>
          <w:rFonts w:hint="eastAsia" w:ascii="仿宋" w:hAnsi="仿宋" w:eastAsia="仿宋" w:cs="Times New Roman"/>
          <w:color w:val="auto"/>
          <w:sz w:val="32"/>
          <w:szCs w:val="32"/>
          <w:highlight w:val="none"/>
        </w:rPr>
        <w:t>%，主要变动原因是合并下属单位，人员、项目经费支出增加。</w:t>
      </w:r>
    </w:p>
    <w:p>
      <w:pPr>
        <w:jc w:val="center"/>
      </w:pPr>
      <w:r>
        <w:drawing>
          <wp:inline distT="0" distB="0" distL="114300" distR="114300">
            <wp:extent cx="2762885" cy="2362200"/>
            <wp:effectExtent l="4445" t="4445" r="13970" b="1460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1280" w:firstLineChars="4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27"/>
          <w:rFonts w:ascii="黑体" w:hAnsi="黑体" w:eastAsia="黑体"/>
          <w:b w:val="0"/>
          <w:color w:val="auto"/>
          <w:highlight w:val="none"/>
        </w:rPr>
      </w:pPr>
      <w:bookmarkStart w:id="38" w:name="_Toc15396607"/>
      <w:bookmarkStart w:id="39" w:name="_Toc15377209"/>
      <w:bookmarkStart w:id="40" w:name="_Toc21770"/>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color w:val="auto"/>
          <w:sz w:val="32"/>
          <w:szCs w:val="32"/>
          <w:highlight w:val="none"/>
        </w:rPr>
      </w:pPr>
      <w:bookmarkStart w:id="41" w:name="_Toc15377210"/>
      <w:r>
        <w:rPr>
          <w:rFonts w:hint="eastAsia" w:ascii="仿宋" w:hAnsi="仿宋" w:eastAsia="仿宋"/>
          <w:b/>
          <w:color w:val="auto"/>
          <w:sz w:val="32"/>
          <w:szCs w:val="32"/>
          <w:highlight w:val="none"/>
        </w:rPr>
        <w:t>（一）一般公共预算财政拨款支出决算总体情况</w:t>
      </w:r>
      <w:bookmarkEnd w:id="41"/>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3713.12</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26.70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2417.5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186.59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，主要变动原因是支巴河二期防洪工程款增加。</w:t>
      </w:r>
    </w:p>
    <w:p>
      <w:pPr>
        <w:jc w:val="center"/>
      </w:pPr>
      <w:r>
        <w:drawing>
          <wp:inline distT="0" distB="0" distL="114300" distR="114300">
            <wp:extent cx="2231390" cy="1926590"/>
            <wp:effectExtent l="5080" t="4445" r="11430" b="12065"/>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42" w:name="_Toc15377211"/>
      <w:r>
        <w:rPr>
          <w:rFonts w:hint="eastAsia" w:ascii="仿宋" w:hAnsi="仿宋" w:eastAsia="仿宋"/>
          <w:b/>
          <w:color w:val="auto"/>
          <w:sz w:val="32"/>
          <w:szCs w:val="32"/>
          <w:highlight w:val="none"/>
        </w:rPr>
        <w:t>（二）一般公共预算财政拨款支出决算结构情况</w:t>
      </w:r>
      <w:bookmarkEnd w:id="42"/>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3713.12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68.24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46.15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val="0"/>
          <w:color w:val="auto"/>
          <w:sz w:val="32"/>
          <w:szCs w:val="32"/>
          <w:highlight w:val="none"/>
          <w:lang w:eastAsia="zh-CN"/>
        </w:rPr>
        <w:t>农林水支出</w:t>
      </w:r>
      <w:r>
        <w:rPr>
          <w:rFonts w:hint="eastAsia" w:ascii="仿宋" w:hAnsi="仿宋" w:eastAsia="仿宋"/>
          <w:color w:val="auto"/>
          <w:sz w:val="32"/>
          <w:szCs w:val="32"/>
          <w:highlight w:val="none"/>
          <w:lang w:val="en-US" w:eastAsia="zh-CN"/>
        </w:rPr>
        <w:t>3517.63万元,占94.73%</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76.1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val="en-US" w:eastAsia="zh-CN"/>
        </w:rPr>
        <w:t>灾害防治及应急管理支出</w:t>
      </w:r>
      <w:r>
        <w:rPr>
          <w:rFonts w:hint="eastAsia" w:ascii="仿宋" w:hAnsi="仿宋" w:eastAsia="仿宋"/>
          <w:color w:val="auto"/>
          <w:sz w:val="32"/>
          <w:szCs w:val="32"/>
          <w:highlight w:val="none"/>
          <w:lang w:val="en-US" w:eastAsia="zh-CN"/>
        </w:rPr>
        <w:t>5万元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占0.13%</w:t>
      </w:r>
      <w:r>
        <w:rPr>
          <w:rFonts w:hint="eastAsia" w:ascii="仿宋" w:hAnsi="仿宋" w:eastAsia="仿宋"/>
          <w:color w:val="auto"/>
          <w:sz w:val="32"/>
          <w:szCs w:val="32"/>
          <w:highlight w:val="none"/>
        </w:rPr>
        <w:t>。</w:t>
      </w:r>
    </w:p>
    <w:p>
      <w:pPr>
        <w:jc w:val="center"/>
      </w:pPr>
      <w:r>
        <w:drawing>
          <wp:inline distT="0" distB="0" distL="114300" distR="114300">
            <wp:extent cx="3049270" cy="2058035"/>
            <wp:effectExtent l="4445" t="4445" r="13335" b="1397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1280" w:firstLineChars="4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43" w:name="_Toc15377212"/>
      <w:r>
        <w:rPr>
          <w:rFonts w:hint="eastAsia" w:ascii="仿宋" w:hAnsi="仿宋" w:eastAsia="仿宋"/>
          <w:b/>
          <w:color w:val="auto"/>
          <w:sz w:val="32"/>
          <w:szCs w:val="32"/>
          <w:highlight w:val="none"/>
        </w:rPr>
        <w:t>（三）一般公共预算财政拨款支出决算具体情况</w:t>
      </w:r>
      <w:bookmarkEnd w:id="43"/>
    </w:p>
    <w:p>
      <w:pPr>
        <w:spacing w:line="600" w:lineRule="exact"/>
        <w:ind w:firstLine="643" w:firstLineChars="200"/>
        <w:outlineLvl w:val="1"/>
        <w:rPr>
          <w:rFonts w:ascii="仿宋" w:hAnsi="仿宋" w:eastAsia="仿宋"/>
          <w:color w:val="auto"/>
          <w:sz w:val="32"/>
          <w:szCs w:val="32"/>
          <w:highlight w:val="none"/>
        </w:rPr>
      </w:pPr>
      <w:bookmarkStart w:id="44" w:name="_Toc15378460"/>
      <w:bookmarkStart w:id="45" w:name="_Toc19529"/>
      <w:bookmarkStart w:id="46" w:name="_Toc15377213"/>
      <w:bookmarkStart w:id="47"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3713.12万元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44"/>
      <w:bookmarkEnd w:id="45"/>
      <w:bookmarkEnd w:id="46"/>
      <w:bookmarkEnd w:id="47"/>
    </w:p>
    <w:p>
      <w:pPr>
        <w:numPr>
          <w:ilvl w:val="0"/>
          <w:numId w:val="3"/>
        </w:numPr>
        <w:spacing w:line="600" w:lineRule="exact"/>
        <w:ind w:left="-12" w:leftChars="0" w:firstLine="642" w:firstLineChars="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rPr>
        <w:t>社会保障和就业（类）</w:t>
      </w:r>
      <w:r>
        <w:rPr>
          <w:rStyle w:val="16"/>
          <w:rFonts w:hint="eastAsia" w:ascii="仿宋" w:hAnsi="仿宋" w:eastAsia="仿宋"/>
          <w:b/>
          <w:bCs w:val="0"/>
          <w:color w:val="auto"/>
          <w:sz w:val="32"/>
          <w:szCs w:val="32"/>
          <w:highlight w:val="none"/>
          <w:lang w:val="en-US" w:eastAsia="zh-CN"/>
        </w:rPr>
        <w:t>行政事业单位养老支出</w:t>
      </w:r>
      <w:r>
        <w:rPr>
          <w:rStyle w:val="16"/>
          <w:rFonts w:hint="eastAsia" w:ascii="仿宋" w:hAnsi="仿宋" w:eastAsia="仿宋"/>
          <w:b/>
          <w:bCs w:val="0"/>
          <w:color w:val="auto"/>
          <w:sz w:val="32"/>
          <w:szCs w:val="32"/>
          <w:highlight w:val="none"/>
        </w:rPr>
        <w:t>（款）</w:t>
      </w:r>
      <w:r>
        <w:rPr>
          <w:rStyle w:val="16"/>
          <w:rFonts w:hint="eastAsia" w:ascii="仿宋" w:hAnsi="仿宋" w:eastAsia="仿宋"/>
          <w:bCs/>
          <w:color w:val="auto"/>
          <w:sz w:val="32"/>
          <w:szCs w:val="32"/>
          <w:highlight w:val="none"/>
        </w:rPr>
        <w:t>机关事业单位基本养老保险缴费支出</w:t>
      </w:r>
      <w:r>
        <w:rPr>
          <w:rStyle w:val="16"/>
          <w:rFonts w:hint="eastAsia" w:ascii="仿宋" w:hAnsi="仿宋" w:eastAsia="仿宋"/>
          <w:bCs/>
          <w:color w:val="auto"/>
          <w:sz w:val="32"/>
          <w:szCs w:val="32"/>
          <w:highlight w:val="none"/>
          <w:lang w:eastAsia="zh-CN"/>
        </w:rPr>
        <w:t>、</w:t>
      </w:r>
      <w:r>
        <w:rPr>
          <w:rStyle w:val="16"/>
          <w:rFonts w:hint="eastAsia" w:ascii="仿宋" w:hAnsi="仿宋" w:eastAsia="仿宋"/>
          <w:bCs/>
          <w:color w:val="auto"/>
          <w:sz w:val="32"/>
          <w:szCs w:val="32"/>
          <w:highlight w:val="none"/>
        </w:rPr>
        <w:t>其他行政事业单位养老支出（项）</w:t>
      </w:r>
      <w:r>
        <w:rPr>
          <w:rStyle w:val="16"/>
          <w:rFonts w:hint="eastAsia" w:ascii="仿宋" w:hAnsi="仿宋" w:eastAsia="仿宋"/>
          <w:bCs/>
          <w:color w:val="auto"/>
          <w:sz w:val="32"/>
          <w:szCs w:val="32"/>
          <w:highlight w:val="none"/>
          <w:lang w:eastAsia="zh-CN"/>
        </w:rPr>
        <w:t>：</w:t>
      </w:r>
      <w:r>
        <w:rPr>
          <w:rStyle w:val="16"/>
          <w:rFonts w:hint="eastAsia" w:ascii="仿宋" w:hAnsi="仿宋" w:eastAsia="仿宋"/>
          <w:b w:val="0"/>
          <w:bCs w:val="0"/>
          <w:color w:val="auto"/>
          <w:sz w:val="32"/>
          <w:szCs w:val="32"/>
          <w:highlight w:val="none"/>
          <w:lang w:eastAsia="zh-CN"/>
        </w:rPr>
        <w:t>支出决算为</w:t>
      </w:r>
      <w:r>
        <w:rPr>
          <w:rStyle w:val="16"/>
          <w:rFonts w:hint="eastAsia" w:ascii="仿宋" w:hAnsi="仿宋" w:eastAsia="仿宋"/>
          <w:b w:val="0"/>
          <w:bCs w:val="0"/>
          <w:color w:val="auto"/>
          <w:sz w:val="32"/>
          <w:szCs w:val="32"/>
          <w:highlight w:val="none"/>
          <w:lang w:val="en-US" w:eastAsia="zh-CN"/>
        </w:rPr>
        <w:t>62.1万元</w:t>
      </w:r>
      <w:r>
        <w:rPr>
          <w:rStyle w:val="16"/>
          <w:rFonts w:hint="eastAsia"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lang w:val="en-US" w:eastAsia="zh-CN"/>
        </w:rPr>
        <w:t>完成预算100%</w:t>
      </w:r>
      <w:r>
        <w:rPr>
          <w:rStyle w:val="16"/>
          <w:rFonts w:hint="eastAsia" w:ascii="仿宋" w:hAnsi="仿宋" w:eastAsia="仿宋"/>
          <w:b w:val="0"/>
          <w:bCs w:val="0"/>
          <w:color w:val="auto"/>
          <w:sz w:val="32"/>
          <w:szCs w:val="32"/>
          <w:highlight w:val="none"/>
        </w:rPr>
        <w:t>。</w:t>
      </w:r>
    </w:p>
    <w:p>
      <w:pPr>
        <w:pStyle w:val="2"/>
        <w:numPr>
          <w:ilvl w:val="0"/>
          <w:numId w:val="3"/>
        </w:numPr>
        <w:ind w:left="-12" w:leftChars="0" w:firstLine="642" w:firstLineChars="0"/>
        <w:rPr>
          <w:b w:val="0"/>
          <w:bCs w:val="0"/>
        </w:rPr>
      </w:pPr>
      <w:r>
        <w:rPr>
          <w:rStyle w:val="16"/>
          <w:rFonts w:hint="eastAsia" w:ascii="仿宋" w:hAnsi="仿宋" w:eastAsia="仿宋"/>
          <w:bCs/>
          <w:color w:val="auto"/>
          <w:sz w:val="32"/>
          <w:szCs w:val="32"/>
          <w:highlight w:val="none"/>
        </w:rPr>
        <w:t>社会保障和就业（类）</w:t>
      </w:r>
      <w:r>
        <w:rPr>
          <w:rStyle w:val="16"/>
          <w:rFonts w:hint="eastAsia" w:ascii="仿宋" w:hAnsi="仿宋" w:eastAsia="仿宋"/>
          <w:b/>
          <w:bCs w:val="0"/>
          <w:color w:val="auto"/>
          <w:sz w:val="32"/>
          <w:szCs w:val="32"/>
          <w:highlight w:val="none"/>
          <w:lang w:eastAsia="zh-CN"/>
        </w:rPr>
        <w:t>抚恤</w:t>
      </w:r>
      <w:r>
        <w:rPr>
          <w:rStyle w:val="16"/>
          <w:rFonts w:hint="eastAsia" w:ascii="仿宋" w:hAnsi="仿宋" w:eastAsia="仿宋"/>
          <w:b/>
          <w:bCs w:val="0"/>
          <w:color w:val="auto"/>
          <w:sz w:val="32"/>
          <w:szCs w:val="32"/>
          <w:highlight w:val="none"/>
          <w:lang w:val="en-US" w:eastAsia="zh-CN"/>
        </w:rPr>
        <w:t>(款)死亡抚恤(项)：</w:t>
      </w:r>
      <w:r>
        <w:rPr>
          <w:rStyle w:val="16"/>
          <w:rFonts w:hint="eastAsia" w:ascii="仿宋" w:hAnsi="仿宋" w:eastAsia="仿宋"/>
          <w:b w:val="0"/>
          <w:bCs w:val="0"/>
          <w:color w:val="auto"/>
          <w:sz w:val="32"/>
          <w:szCs w:val="32"/>
          <w:highlight w:val="none"/>
          <w:lang w:eastAsia="zh-CN"/>
        </w:rPr>
        <w:t>支出决算为</w:t>
      </w:r>
      <w:r>
        <w:rPr>
          <w:rStyle w:val="16"/>
          <w:rFonts w:hint="eastAsia" w:ascii="仿宋" w:hAnsi="仿宋" w:eastAsia="仿宋"/>
          <w:b w:val="0"/>
          <w:bCs w:val="0"/>
          <w:color w:val="auto"/>
          <w:sz w:val="32"/>
          <w:szCs w:val="32"/>
          <w:highlight w:val="none"/>
          <w:lang w:val="en-US" w:eastAsia="zh-CN"/>
        </w:rPr>
        <w:t>6.14万元</w:t>
      </w:r>
      <w:r>
        <w:rPr>
          <w:rFonts w:hint="eastAsia"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lang w:val="en-US" w:eastAsia="zh-CN"/>
        </w:rPr>
        <w:t>完成预算100%</w:t>
      </w:r>
      <w:r>
        <w:rPr>
          <w:rStyle w:val="16"/>
          <w:rFonts w:hint="eastAsia" w:ascii="仿宋" w:hAnsi="仿宋" w:eastAsia="仿宋"/>
          <w:b w:val="0"/>
          <w:bCs w:val="0"/>
          <w:color w:val="auto"/>
          <w:sz w:val="32"/>
          <w:szCs w:val="32"/>
          <w:highlight w:val="none"/>
        </w:rPr>
        <w:t>。</w:t>
      </w:r>
    </w:p>
    <w:p>
      <w:pPr>
        <w:numPr>
          <w:ilvl w:val="0"/>
          <w:numId w:val="3"/>
        </w:numPr>
        <w:spacing w:line="600" w:lineRule="exact"/>
        <w:ind w:left="-12" w:leftChars="0" w:firstLine="642" w:firstLineChars="0"/>
        <w:rPr>
          <w:rStyle w:val="16"/>
          <w:rFonts w:hint="eastAsia" w:ascii="仿宋" w:hAnsi="仿宋" w:eastAsia="仿宋"/>
          <w:b w:val="0"/>
          <w:bCs w:val="0"/>
          <w:color w:val="auto"/>
          <w:sz w:val="32"/>
          <w:szCs w:val="32"/>
          <w:highlight w:val="none"/>
          <w:lang w:val="en-US" w:eastAsia="zh-CN"/>
        </w:rPr>
      </w:pPr>
      <w:r>
        <w:rPr>
          <w:rFonts w:hint="eastAsia" w:ascii="仿宋" w:hAnsi="仿宋" w:eastAsia="仿宋"/>
          <w:b/>
          <w:bCs/>
          <w:color w:val="auto"/>
          <w:sz w:val="32"/>
          <w:szCs w:val="32"/>
          <w:highlight w:val="none"/>
        </w:rPr>
        <w:t>卫生健康</w:t>
      </w:r>
      <w:r>
        <w:rPr>
          <w:rStyle w:val="16"/>
          <w:rFonts w:hint="eastAsia" w:ascii="仿宋" w:hAnsi="仿宋" w:eastAsia="仿宋"/>
          <w:b/>
          <w:bCs/>
          <w:color w:val="auto"/>
          <w:sz w:val="32"/>
          <w:szCs w:val="32"/>
          <w:highlight w:val="none"/>
        </w:rPr>
        <w:t>（类）</w:t>
      </w:r>
      <w:r>
        <w:rPr>
          <w:rStyle w:val="16"/>
          <w:rFonts w:hint="eastAsia" w:ascii="仿宋" w:hAnsi="仿宋" w:eastAsia="仿宋"/>
          <w:b/>
          <w:bCs/>
          <w:color w:val="auto"/>
          <w:sz w:val="32"/>
          <w:szCs w:val="32"/>
          <w:highlight w:val="none"/>
          <w:lang w:val="en-US" w:eastAsia="zh-CN"/>
        </w:rPr>
        <w:t>行政事业单位医疗（款）行政单位医疗、事业单位医疗、公务员医疗补助、其他行政事业单位医疗支出：</w:t>
      </w:r>
      <w:r>
        <w:rPr>
          <w:rStyle w:val="16"/>
          <w:rFonts w:hint="eastAsia" w:ascii="仿宋" w:hAnsi="仿宋" w:eastAsia="仿宋"/>
          <w:b w:val="0"/>
          <w:bCs w:val="0"/>
          <w:color w:val="auto"/>
          <w:sz w:val="32"/>
          <w:szCs w:val="32"/>
          <w:highlight w:val="none"/>
          <w:lang w:eastAsia="zh-CN"/>
        </w:rPr>
        <w:t>支出决算为</w:t>
      </w:r>
      <w:r>
        <w:rPr>
          <w:rStyle w:val="16"/>
          <w:rFonts w:hint="eastAsia" w:ascii="仿宋" w:hAnsi="仿宋" w:eastAsia="仿宋"/>
          <w:b w:val="0"/>
          <w:bCs w:val="0"/>
          <w:color w:val="auto"/>
          <w:sz w:val="32"/>
          <w:szCs w:val="32"/>
          <w:highlight w:val="none"/>
          <w:lang w:val="en-US" w:eastAsia="zh-CN"/>
        </w:rPr>
        <w:t>46.15万元</w:t>
      </w:r>
      <w:r>
        <w:rPr>
          <w:rStyle w:val="16"/>
          <w:rFonts w:hint="eastAsia"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lang w:eastAsia="zh-CN"/>
        </w:rPr>
        <w:t>完成预算</w:t>
      </w:r>
      <w:r>
        <w:rPr>
          <w:rStyle w:val="16"/>
          <w:rFonts w:hint="eastAsia" w:ascii="仿宋" w:hAnsi="仿宋" w:eastAsia="仿宋"/>
          <w:b w:val="0"/>
          <w:bCs w:val="0"/>
          <w:color w:val="auto"/>
          <w:sz w:val="32"/>
          <w:szCs w:val="32"/>
          <w:highlight w:val="none"/>
          <w:lang w:val="en-US" w:eastAsia="zh-CN"/>
        </w:rPr>
        <w:t>100%</w:t>
      </w:r>
      <w:r>
        <w:rPr>
          <w:rStyle w:val="16"/>
          <w:rFonts w:hint="eastAsia" w:ascii="仿宋" w:hAnsi="仿宋" w:eastAsia="仿宋"/>
          <w:b w:val="0"/>
          <w:bCs w:val="0"/>
          <w:color w:val="auto"/>
          <w:sz w:val="32"/>
          <w:szCs w:val="32"/>
          <w:highlight w:val="none"/>
        </w:rPr>
        <w:t>。</w:t>
      </w:r>
    </w:p>
    <w:p>
      <w:pPr>
        <w:pStyle w:val="6"/>
        <w:numPr>
          <w:ilvl w:val="0"/>
          <w:numId w:val="3"/>
        </w:numPr>
        <w:ind w:left="-12" w:leftChars="0" w:firstLine="642" w:firstLineChars="0"/>
        <w:rPr>
          <w:rStyle w:val="16"/>
          <w:rFonts w:hint="eastAsia" w:ascii="仿宋" w:hAnsi="仿宋" w:eastAsia="仿宋"/>
          <w:b w:val="0"/>
          <w:bCs w:val="0"/>
          <w:color w:val="auto"/>
          <w:sz w:val="32"/>
          <w:szCs w:val="32"/>
          <w:highlight w:val="none"/>
        </w:rPr>
      </w:pPr>
      <w:r>
        <w:rPr>
          <w:rStyle w:val="16"/>
          <w:rFonts w:hint="eastAsia" w:ascii="仿宋" w:hAnsi="仿宋" w:eastAsia="仿宋" w:cs="Times New Roman"/>
          <w:b/>
          <w:bCs/>
          <w:color w:val="auto"/>
          <w:kern w:val="2"/>
          <w:sz w:val="32"/>
          <w:szCs w:val="32"/>
          <w:highlight w:val="none"/>
          <w:lang w:val="en-US" w:eastAsia="zh-CN" w:bidi="ar-SA"/>
        </w:rPr>
        <w:t>农林水支出(类)水利(款)行政运行、一般行政管理事务、水利工程建设、水利工程运行与维护、水利前期工作、水利执法监督、水土保持、水资源节约管理与保护、水质监测、防汛、农村水利、江河湖库水系综合整治、大中型水库移民后期扶持专项支出、水利安全监督、其他水利支出(项)：</w:t>
      </w:r>
      <w:r>
        <w:rPr>
          <w:rStyle w:val="16"/>
          <w:rFonts w:hint="eastAsia" w:ascii="仿宋" w:hAnsi="仿宋" w:eastAsia="仿宋" w:cs="Times New Roman"/>
          <w:b w:val="0"/>
          <w:bCs w:val="0"/>
          <w:color w:val="auto"/>
          <w:kern w:val="2"/>
          <w:sz w:val="32"/>
          <w:szCs w:val="32"/>
          <w:highlight w:val="none"/>
          <w:lang w:val="en-US" w:eastAsia="zh-CN" w:bidi="ar-SA"/>
        </w:rPr>
        <w:t>支出决算为3517.63万元,完成预算100%</w:t>
      </w:r>
      <w:r>
        <w:rPr>
          <w:rStyle w:val="16"/>
          <w:rFonts w:hint="eastAsia" w:ascii="仿宋" w:hAnsi="仿宋" w:eastAsia="仿宋"/>
          <w:b w:val="0"/>
          <w:bCs w:val="0"/>
          <w:color w:val="auto"/>
          <w:sz w:val="32"/>
          <w:szCs w:val="32"/>
          <w:highlight w:val="none"/>
        </w:rPr>
        <w:t>。</w:t>
      </w:r>
    </w:p>
    <w:p>
      <w:pPr>
        <w:numPr>
          <w:ilvl w:val="0"/>
          <w:numId w:val="3"/>
        </w:numPr>
        <w:ind w:left="-12" w:leftChars="0" w:firstLine="642" w:firstLineChars="0"/>
        <w:rPr>
          <w:rFonts w:hint="eastAsia" w:ascii="仿宋" w:hAnsi="仿宋" w:eastAsia="仿宋"/>
          <w:b/>
          <w:bCs/>
          <w:color w:val="auto"/>
          <w:sz w:val="32"/>
          <w:szCs w:val="32"/>
          <w:highlight w:val="none"/>
        </w:rPr>
      </w:pPr>
      <w:r>
        <w:rPr>
          <w:rFonts w:hint="eastAsia" w:ascii="仿宋" w:hAnsi="仿宋" w:eastAsia="仿宋"/>
          <w:b/>
          <w:bCs w:val="0"/>
          <w:color w:val="auto"/>
          <w:sz w:val="32"/>
          <w:szCs w:val="32"/>
          <w:highlight w:val="none"/>
          <w:lang w:val="en-US" w:eastAsia="zh-CN"/>
        </w:rPr>
        <w:t>住房保</w:t>
      </w:r>
      <w:r>
        <w:rPr>
          <w:rFonts w:hint="eastAsia" w:ascii="仿宋" w:hAnsi="仿宋" w:eastAsia="仿宋"/>
          <w:b/>
          <w:bCs/>
          <w:color w:val="auto"/>
          <w:sz w:val="32"/>
          <w:szCs w:val="32"/>
          <w:highlight w:val="none"/>
          <w:lang w:val="en-US" w:eastAsia="zh-CN"/>
        </w:rPr>
        <w:t>障支出(类)</w:t>
      </w:r>
      <w:r>
        <w:rPr>
          <w:rStyle w:val="16"/>
          <w:rFonts w:hint="eastAsia" w:ascii="仿宋" w:hAnsi="仿宋" w:eastAsia="仿宋"/>
          <w:b/>
          <w:bCs/>
          <w:color w:val="auto"/>
          <w:sz w:val="32"/>
          <w:szCs w:val="32"/>
          <w:highlight w:val="none"/>
          <w:lang w:val="en-US" w:eastAsia="zh-CN"/>
        </w:rPr>
        <w:t>住房改革支出(款)住房公积金(项)：</w:t>
      </w:r>
      <w:r>
        <w:rPr>
          <w:rFonts w:hint="eastAsia" w:ascii="仿宋" w:hAnsi="仿宋" w:eastAsia="仿宋"/>
          <w:b w:val="0"/>
          <w:bCs w:val="0"/>
          <w:color w:val="auto"/>
          <w:sz w:val="32"/>
          <w:szCs w:val="32"/>
          <w:highlight w:val="none"/>
          <w:lang w:val="en-US" w:eastAsia="zh-CN"/>
        </w:rPr>
        <w:t>决算为76.10万元,完成预算100%</w:t>
      </w:r>
      <w:r>
        <w:rPr>
          <w:rFonts w:hint="eastAsia" w:ascii="仿宋" w:hAnsi="仿宋" w:eastAsia="仿宋"/>
          <w:b w:val="0"/>
          <w:bCs w:val="0"/>
          <w:color w:val="auto"/>
          <w:sz w:val="32"/>
          <w:szCs w:val="32"/>
          <w:highlight w:val="none"/>
        </w:rPr>
        <w:t>。</w:t>
      </w:r>
    </w:p>
    <w:p>
      <w:pPr>
        <w:numPr>
          <w:ilvl w:val="0"/>
          <w:numId w:val="3"/>
        </w:numPr>
        <w:ind w:left="-12" w:leftChars="0" w:firstLine="642" w:firstLineChars="0"/>
        <w:rPr>
          <w:rFonts w:ascii="仿宋" w:hAnsi="仿宋" w:eastAsia="仿宋"/>
          <w:b/>
          <w:color w:val="auto"/>
          <w:sz w:val="32"/>
          <w:szCs w:val="32"/>
          <w:highlight w:val="none"/>
        </w:rPr>
      </w:pPr>
      <w:r>
        <w:rPr>
          <w:rStyle w:val="16"/>
          <w:rFonts w:hint="eastAsia" w:ascii="仿宋" w:hAnsi="仿宋" w:eastAsia="仿宋"/>
          <w:b/>
          <w:bCs w:val="0"/>
          <w:color w:val="auto"/>
          <w:sz w:val="32"/>
          <w:szCs w:val="32"/>
          <w:highlight w:val="none"/>
          <w:lang w:val="en-US" w:eastAsia="zh-CN"/>
        </w:rPr>
        <w:t>灾</w:t>
      </w:r>
      <w:r>
        <w:rPr>
          <w:rFonts w:hint="eastAsia" w:ascii="仿宋" w:hAnsi="仿宋" w:eastAsia="仿宋"/>
          <w:b/>
          <w:bCs/>
          <w:color w:val="auto"/>
          <w:sz w:val="32"/>
          <w:szCs w:val="32"/>
          <w:highlight w:val="none"/>
          <w:lang w:val="en-US" w:eastAsia="zh-CN"/>
        </w:rPr>
        <w:t>害防治及应急管理支出(类)</w:t>
      </w:r>
      <w:r>
        <w:rPr>
          <w:rStyle w:val="16"/>
          <w:rFonts w:hint="eastAsia" w:ascii="仿宋" w:hAnsi="仿宋" w:eastAsia="仿宋"/>
          <w:b/>
          <w:bCs/>
          <w:color w:val="auto"/>
          <w:sz w:val="32"/>
          <w:szCs w:val="32"/>
          <w:highlight w:val="none"/>
          <w:lang w:val="en-US" w:eastAsia="zh-CN"/>
        </w:rPr>
        <w:t>应急管理事务(款)其他应急管理支出(项)：</w:t>
      </w:r>
      <w:r>
        <w:rPr>
          <w:rFonts w:hint="eastAsia" w:ascii="仿宋" w:hAnsi="仿宋" w:eastAsia="仿宋"/>
          <w:b w:val="0"/>
          <w:bCs w:val="0"/>
          <w:color w:val="auto"/>
          <w:sz w:val="32"/>
          <w:szCs w:val="32"/>
          <w:highlight w:val="none"/>
          <w:lang w:val="en-US" w:eastAsia="zh-CN"/>
        </w:rPr>
        <w:t>决算为5万元,完成预算100%。</w:t>
      </w:r>
    </w:p>
    <w:p>
      <w:pPr>
        <w:tabs>
          <w:tab w:val="right" w:pos="8306"/>
        </w:tabs>
        <w:spacing w:line="600" w:lineRule="exact"/>
        <w:ind w:firstLine="640"/>
        <w:outlineLvl w:val="1"/>
        <w:rPr>
          <w:rStyle w:val="27"/>
          <w:color w:val="auto"/>
          <w:highlight w:val="none"/>
        </w:rPr>
      </w:pPr>
      <w:bookmarkStart w:id="48" w:name="_Toc15396608"/>
      <w:bookmarkStart w:id="49" w:name="_Toc15377214"/>
      <w:bookmarkStart w:id="50" w:name="_Toc17223"/>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48"/>
      <w:bookmarkEnd w:id="49"/>
      <w:bookmarkEnd w:id="50"/>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1092.59</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932.39</w:t>
      </w:r>
      <w:r>
        <w:rPr>
          <w:rFonts w:hint="eastAsia" w:ascii="仿宋" w:hAnsi="仿宋" w:eastAsia="仿宋"/>
          <w:color w:val="auto"/>
          <w:sz w:val="32"/>
          <w:szCs w:val="32"/>
          <w:highlight w:val="none"/>
        </w:rPr>
        <w:t>万元，主要包括：基本工资、津贴补贴、奖金、绩效工资、机关事业单位基本养老保险缴费、职工基本医疗保险缴费、公务员医疗补助缴费、其他社会保障缴费、住房公积金、</w:t>
      </w:r>
      <w:r>
        <w:rPr>
          <w:rFonts w:hint="eastAsia" w:ascii="仿宋" w:hAnsi="仿宋" w:eastAsia="仿宋"/>
          <w:color w:val="auto"/>
          <w:sz w:val="32"/>
          <w:szCs w:val="32"/>
          <w:highlight w:val="none"/>
          <w:lang w:eastAsia="zh-CN"/>
        </w:rPr>
        <w:t>医疗费</w:t>
      </w:r>
      <w:r>
        <w:rPr>
          <w:rFonts w:hint="eastAsia" w:ascii="仿宋" w:hAnsi="仿宋" w:eastAsia="仿宋"/>
          <w:color w:val="auto"/>
          <w:sz w:val="32"/>
          <w:szCs w:val="32"/>
          <w:highlight w:val="none"/>
        </w:rPr>
        <w:t>、其他工资福利支出、抚恤金、生活补助、医疗费补助、其他对个人和家庭的补助支出。</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160.20</w:t>
      </w:r>
      <w:r>
        <w:rPr>
          <w:rFonts w:hint="eastAsia" w:ascii="仿宋" w:hAnsi="仿宋" w:eastAsia="仿宋"/>
          <w:color w:val="auto"/>
          <w:sz w:val="32"/>
          <w:szCs w:val="32"/>
          <w:highlight w:val="none"/>
        </w:rPr>
        <w:t>万元，主要包括：办公费、印刷费、水费、电费、邮电费、物业管理费、差旅费、维修（护）费、会议费、公务接待费、工会经费、福利费、公务用车运行维护费、其他交通费、其他商品和服务支出。</w:t>
      </w:r>
    </w:p>
    <w:p>
      <w:pPr>
        <w:spacing w:line="600" w:lineRule="exact"/>
        <w:ind w:firstLine="640"/>
        <w:outlineLvl w:val="1"/>
        <w:rPr>
          <w:rStyle w:val="27"/>
          <w:rFonts w:ascii="黑体" w:hAnsi="黑体" w:eastAsia="黑体"/>
          <w:b w:val="0"/>
          <w:color w:val="auto"/>
          <w:highlight w:val="none"/>
        </w:rPr>
      </w:pPr>
      <w:bookmarkStart w:id="51" w:name="_Toc15377215"/>
      <w:bookmarkStart w:id="52" w:name="_Toc15396609"/>
      <w:bookmarkStart w:id="53" w:name="_Toc17676"/>
      <w:r>
        <w:rPr>
          <w:rFonts w:hint="eastAsia" w:ascii="黑体" w:eastAsia="黑体"/>
          <w:color w:val="auto"/>
          <w:sz w:val="32"/>
          <w:szCs w:val="32"/>
          <w:highlight w:val="none"/>
        </w:rPr>
        <w:t>七、</w:t>
      </w:r>
      <w:r>
        <w:rPr>
          <w:rStyle w:val="27"/>
          <w:rFonts w:hint="eastAsia" w:ascii="黑体" w:hAnsi="黑体" w:eastAsia="黑体"/>
          <w:b w:val="0"/>
          <w:color w:val="auto"/>
          <w:highlight w:val="none"/>
        </w:rPr>
        <w:t>财政拨款</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三公”经费支出决算情况说明</w:t>
      </w:r>
      <w:bookmarkEnd w:id="51"/>
      <w:bookmarkEnd w:id="52"/>
      <w:bookmarkEnd w:id="53"/>
    </w:p>
    <w:p>
      <w:pPr>
        <w:spacing w:line="600" w:lineRule="exact"/>
        <w:ind w:firstLine="640"/>
        <w:outlineLvl w:val="2"/>
        <w:rPr>
          <w:rFonts w:ascii="仿宋" w:hAnsi="仿宋" w:eastAsia="仿宋"/>
          <w:b/>
          <w:color w:val="auto"/>
          <w:sz w:val="32"/>
          <w:szCs w:val="32"/>
          <w:highlight w:val="none"/>
        </w:rPr>
      </w:pPr>
      <w:bookmarkStart w:id="54" w:name="_Toc15377216"/>
      <w:r>
        <w:rPr>
          <w:rFonts w:hint="eastAsia" w:ascii="仿宋" w:hAnsi="仿宋" w:eastAsia="仿宋"/>
          <w:b/>
          <w:color w:val="auto"/>
          <w:sz w:val="32"/>
          <w:szCs w:val="32"/>
          <w:highlight w:val="none"/>
        </w:rPr>
        <w:t>（一）“三公”经费财政拨款支出决算总体情况说明</w:t>
      </w:r>
      <w:bookmarkEnd w:id="54"/>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13.98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较上年增加</w:t>
      </w:r>
      <w:r>
        <w:rPr>
          <w:rFonts w:hint="eastAsia" w:ascii="仿宋" w:hAnsi="仿宋" w:eastAsia="仿宋"/>
          <w:color w:val="auto"/>
          <w:sz w:val="32"/>
          <w:szCs w:val="32"/>
          <w:highlight w:val="none"/>
          <w:lang w:val="en-US" w:eastAsia="zh-CN"/>
        </w:rPr>
        <w:t>1.28万元，增长10.08%，增加原因系合并下属单位统一核算。</w:t>
      </w:r>
      <w:r>
        <w:rPr>
          <w:rFonts w:hint="eastAsia" w:ascii="仿宋" w:hAnsi="仿宋" w:eastAsia="仿宋"/>
          <w:color w:val="auto"/>
          <w:sz w:val="32"/>
          <w:szCs w:val="32"/>
          <w:highlight w:val="none"/>
        </w:rPr>
        <w:t>决算</w:t>
      </w:r>
      <w:r>
        <w:rPr>
          <w:rFonts w:hint="eastAsia" w:ascii="仿宋" w:hAnsi="仿宋" w:eastAsia="仿宋"/>
          <w:color w:val="auto"/>
          <w:sz w:val="32"/>
          <w:szCs w:val="32"/>
          <w:highlight w:val="none"/>
          <w:lang w:eastAsia="zh-CN"/>
        </w:rPr>
        <w:t>与</w:t>
      </w:r>
      <w:r>
        <w:rPr>
          <w:rFonts w:hint="eastAsia" w:ascii="仿宋" w:hAnsi="仿宋" w:eastAsia="仿宋"/>
          <w:color w:val="auto"/>
          <w:sz w:val="32"/>
          <w:szCs w:val="32"/>
          <w:highlight w:val="none"/>
        </w:rPr>
        <w:t>预算数持平。</w:t>
      </w:r>
    </w:p>
    <w:p>
      <w:pPr>
        <w:spacing w:line="600" w:lineRule="exact"/>
        <w:ind w:firstLine="640"/>
        <w:outlineLvl w:val="2"/>
        <w:rPr>
          <w:rFonts w:ascii="仿宋" w:hAnsi="仿宋" w:eastAsia="仿宋"/>
          <w:b/>
          <w:color w:val="auto"/>
          <w:sz w:val="32"/>
          <w:szCs w:val="32"/>
          <w:highlight w:val="none"/>
        </w:rPr>
      </w:pPr>
      <w:bookmarkStart w:id="55" w:name="_Toc15377217"/>
      <w:r>
        <w:rPr>
          <w:rFonts w:hint="eastAsia" w:ascii="仿宋" w:hAnsi="仿宋" w:eastAsia="仿宋"/>
          <w:b/>
          <w:color w:val="auto"/>
          <w:sz w:val="32"/>
          <w:szCs w:val="32"/>
          <w:highlight w:val="none"/>
        </w:rPr>
        <w:t>（二）“三公”经费财政拨款支出决算具体情况说明</w:t>
      </w:r>
      <w:bookmarkEnd w:id="5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w:t>
      </w:r>
      <w:r>
        <w:rPr>
          <w:rFonts w:hint="eastAsia" w:ascii="仿宋" w:hAnsi="仿宋" w:eastAsia="仿宋"/>
          <w:color w:val="auto"/>
          <w:sz w:val="32"/>
          <w:szCs w:val="32"/>
          <w:highlight w:val="none"/>
          <w:lang w:eastAsia="zh-CN"/>
        </w:rPr>
        <w:t>因公出国（境）费支出决算</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11.60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82.98</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2.38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17.02</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jc w:val="center"/>
      </w:pPr>
      <w:r>
        <w:drawing>
          <wp:inline distT="0" distB="0" distL="114300" distR="114300">
            <wp:extent cx="2345055" cy="1905635"/>
            <wp:effectExtent l="5080" t="4445" r="12065" b="1397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rPr>
      </w:pPr>
      <w:r>
        <w:rPr>
          <w:rFonts w:hint="eastAsia" w:ascii="仿宋_GB2312" w:eastAsia="仿宋_GB2312"/>
          <w:b/>
          <w:color w:val="auto"/>
          <w:sz w:val="32"/>
          <w:szCs w:val="32"/>
          <w:highlight w:val="none"/>
          <w:lang w:val="en-US" w:eastAsia="zh-CN"/>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全年安排因公出国（境）团组0次，出国（境）0人。因公出国（境）支出决算</w:t>
      </w:r>
      <w:r>
        <w:rPr>
          <w:rFonts w:hint="eastAsia" w:eastAsia="仿宋_GB2312" w:cs="Times New Roman"/>
          <w:color w:val="auto"/>
          <w:sz w:val="32"/>
          <w:szCs w:val="32"/>
          <w:highlight w:val="none"/>
          <w:lang w:val="en-US" w:eastAsia="zh-CN"/>
        </w:rPr>
        <w:t>与</w:t>
      </w:r>
      <w:r>
        <w:rPr>
          <w:rFonts w:hint="eastAsia" w:ascii="Times New Roman" w:hAnsi="Times New Roman" w:eastAsia="仿宋_GB2312" w:cs="Times New Roman"/>
          <w:color w:val="auto"/>
          <w:sz w:val="32"/>
          <w:szCs w:val="32"/>
          <w:highlight w:val="none"/>
          <w:lang w:val="en-US" w:eastAsia="zh-CN"/>
        </w:rPr>
        <w:t>2021年</w:t>
      </w:r>
      <w:r>
        <w:rPr>
          <w:rFonts w:hint="eastAsia" w:eastAsia="仿宋_GB2312" w:cs="Times New Roman"/>
          <w:color w:val="auto"/>
          <w:sz w:val="32"/>
          <w:szCs w:val="32"/>
          <w:highlight w:val="none"/>
          <w:lang w:val="en-US" w:eastAsia="zh-CN"/>
        </w:rPr>
        <w:t>持平</w:t>
      </w:r>
      <w:r>
        <w:rPr>
          <w:rFonts w:hint="eastAsia" w:ascii="Times New Roman" w:hAnsi="Times New Roman" w:eastAsia="仿宋_GB2312" w:cs="Times New Roman"/>
          <w:color w:val="auto"/>
          <w:sz w:val="32"/>
          <w:szCs w:val="32"/>
          <w:highlight w:val="none"/>
          <w:lang w:val="en-US" w:eastAsia="zh-CN"/>
        </w:rPr>
        <w:t>。</w:t>
      </w:r>
    </w:p>
    <w:p>
      <w:pPr>
        <w:numPr>
          <w:ilvl w:val="0"/>
          <w:numId w:val="0"/>
        </w:numPr>
        <w:spacing w:line="600" w:lineRule="exact"/>
        <w:ind w:firstLine="643" w:firstLineChars="20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11.60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3.9</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50.65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下属单位合并</w:t>
      </w:r>
      <w:r>
        <w:rPr>
          <w:rFonts w:hint="eastAsia" w:ascii="仿宋_GB2312" w:eastAsia="仿宋_GB2312"/>
          <w:color w:val="auto"/>
          <w:sz w:val="32"/>
          <w:szCs w:val="32"/>
          <w:highlight w:val="none"/>
          <w:lang w:val="en-US" w:eastAsia="zh-CN"/>
        </w:rPr>
        <w:t>,公务车增加一辆</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辆，其中：越野车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11.60</w:t>
      </w:r>
      <w:r>
        <w:rPr>
          <w:rFonts w:hint="eastAsia" w:ascii="仿宋_GB2312" w:eastAsia="仿宋_GB2312"/>
          <w:color w:val="auto"/>
          <w:sz w:val="32"/>
          <w:szCs w:val="32"/>
          <w:highlight w:val="none"/>
        </w:rPr>
        <w:t>万元。</w:t>
      </w:r>
      <w:r>
        <w:rPr>
          <w:rFonts w:hint="eastAsia" w:ascii="仿宋_GB2312" w:eastAsia="仿宋_GB2312"/>
          <w:color w:val="000000" w:themeColor="text1"/>
          <w:sz w:val="32"/>
          <w:szCs w:val="32"/>
          <w:highlight w:val="none"/>
          <w14:textFill>
            <w14:solidFill>
              <w14:schemeClr w14:val="tx1"/>
            </w14:solidFill>
          </w14:textFill>
        </w:rPr>
        <w:t>主要用于</w:t>
      </w:r>
      <w:r>
        <w:rPr>
          <w:rFonts w:hint="eastAsia" w:ascii="仿宋_GB2312" w:eastAsia="仿宋_GB2312"/>
          <w:color w:val="000000" w:themeColor="text1"/>
          <w:sz w:val="32"/>
          <w:szCs w:val="32"/>
          <w:highlight w:val="none"/>
          <w:lang w:eastAsia="zh-CN"/>
          <w14:textFill>
            <w14:solidFill>
              <w14:schemeClr w14:val="tx1"/>
            </w14:solidFill>
          </w14:textFill>
        </w:rPr>
        <w:t>机关</w:t>
      </w:r>
      <w:r>
        <w:rPr>
          <w:rFonts w:hint="eastAsia" w:ascii="仿宋_GB2312" w:eastAsia="仿宋_GB2312"/>
          <w:color w:val="000000" w:themeColor="text1"/>
          <w:sz w:val="32"/>
          <w:szCs w:val="32"/>
          <w:highlight w:val="none"/>
          <w:lang w:val="en-US" w:eastAsia="zh-CN"/>
          <w14:textFill>
            <w14:solidFill>
              <w14:schemeClr w14:val="tx1"/>
            </w14:solidFill>
          </w14:textFill>
        </w:rPr>
        <w:t>2辆</w:t>
      </w:r>
      <w:r>
        <w:rPr>
          <w:rFonts w:hint="eastAsia" w:ascii="仿宋_GB2312" w:eastAsia="仿宋_GB2312"/>
          <w:color w:val="000000" w:themeColor="text1"/>
          <w:sz w:val="32"/>
          <w:szCs w:val="32"/>
          <w:highlight w:val="none"/>
          <w:lang w:eastAsia="zh-CN"/>
          <w14:textFill>
            <w14:solidFill>
              <w14:schemeClr w14:val="tx1"/>
            </w14:solidFill>
          </w14:textFill>
        </w:rPr>
        <w:t>公务车开展</w:t>
      </w:r>
      <w:r>
        <w:rPr>
          <w:rFonts w:hint="eastAsia" w:ascii="仿宋_GB2312" w:eastAsia="仿宋_GB2312"/>
          <w:b w:val="0"/>
          <w:bCs/>
          <w:color w:val="000000" w:themeColor="text1"/>
          <w:sz w:val="32"/>
          <w:szCs w:val="32"/>
          <w14:textFill>
            <w14:solidFill>
              <w14:schemeClr w14:val="tx1"/>
            </w14:solidFill>
          </w14:textFill>
        </w:rPr>
        <w:t>水资源管理与保护、河长制、防汛抢险</w:t>
      </w:r>
      <w:r>
        <w:rPr>
          <w:rFonts w:hint="eastAsia" w:ascii="仿宋_GB2312" w:eastAsia="仿宋_GB2312"/>
          <w:b w:val="0"/>
          <w:bCs/>
          <w:color w:val="000000" w:themeColor="text1"/>
          <w:sz w:val="32"/>
          <w:szCs w:val="32"/>
          <w:lang w:eastAsia="zh-CN"/>
          <w14:textFill>
            <w14:solidFill>
              <w14:schemeClr w14:val="tx1"/>
            </w14:solidFill>
          </w14:textFill>
        </w:rPr>
        <w:t>等工作</w:t>
      </w:r>
      <w:r>
        <w:rPr>
          <w:rFonts w:hint="eastAsia" w:ascii="仿宋_GB2312" w:eastAsia="仿宋_GB2312"/>
          <w:color w:val="000000" w:themeColor="text1"/>
          <w:sz w:val="32"/>
          <w:szCs w:val="32"/>
          <w:highlight w:val="none"/>
          <w14:textFill>
            <w14:solidFill>
              <w14:schemeClr w14:val="tx1"/>
            </w14:solidFill>
          </w14:textFill>
        </w:rPr>
        <w:t>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2.38</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2.62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52.49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。主要原因是严格执行中央八项规定精神</w:t>
      </w:r>
      <w:r>
        <w:rPr>
          <w:rFonts w:hint="eastAsia" w:ascii="仿宋_GB2312" w:eastAsia="仿宋_GB2312"/>
          <w:color w:val="auto"/>
          <w:sz w:val="32"/>
          <w:szCs w:val="32"/>
          <w:highlight w:val="none"/>
          <w:lang w:eastAsia="zh-CN"/>
        </w:rPr>
        <w:t>，严控费用增长</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2.38</w:t>
      </w:r>
      <w:r>
        <w:rPr>
          <w:rFonts w:hint="eastAsia" w:ascii="仿宋_GB2312" w:eastAsia="仿宋_GB2312"/>
          <w:color w:val="auto"/>
          <w:sz w:val="32"/>
          <w:szCs w:val="32"/>
          <w:highlight w:val="none"/>
        </w:rPr>
        <w:t>万元，</w:t>
      </w:r>
      <w:r>
        <w:rPr>
          <w:rFonts w:hint="eastAsia" w:ascii="仿宋_GB2312" w:eastAsia="仿宋_GB2312"/>
          <w:b w:val="0"/>
          <w:bCs/>
          <w:color w:val="000000" w:themeColor="text1"/>
          <w:sz w:val="32"/>
          <w:szCs w:val="32"/>
          <w14:textFill>
            <w14:solidFill>
              <w14:schemeClr w14:val="tx1"/>
            </w14:solidFill>
          </w14:textFill>
        </w:rPr>
        <w:t>主要用于水利部、省水利厅对在建的大型、中型水库建设与小型水库日常管理、农村饮水安全的检查和河（湖）长制的督查等公务接待</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24</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231</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2.38</w:t>
      </w:r>
      <w:r>
        <w:rPr>
          <w:rFonts w:hint="eastAsia" w:ascii="仿宋_GB2312" w:eastAsia="仿宋_GB2312"/>
          <w:color w:val="auto"/>
          <w:sz w:val="32"/>
          <w:szCs w:val="32"/>
          <w:highlight w:val="none"/>
        </w:rPr>
        <w:t>万元，具体内容包括：</w:t>
      </w:r>
      <w:r>
        <w:rPr>
          <w:rFonts w:hint="eastAsia" w:ascii="仿宋_GB2312" w:eastAsia="仿宋_GB2312"/>
          <w:b w:val="0"/>
          <w:bCs/>
          <w:color w:val="000000" w:themeColor="text1"/>
          <w:sz w:val="32"/>
          <w:szCs w:val="32"/>
          <w:highlight w:val="none"/>
          <w:lang w:eastAsia="zh-CN"/>
          <w14:textFill>
            <w14:solidFill>
              <w14:schemeClr w14:val="tx1"/>
            </w14:solidFill>
          </w14:textFill>
        </w:rPr>
        <w:t>防汛督导组每月</w:t>
      </w:r>
      <w:r>
        <w:rPr>
          <w:rFonts w:hint="eastAsia" w:ascii="仿宋_GB2312" w:eastAsia="仿宋_GB2312"/>
          <w:b w:val="0"/>
          <w:bCs/>
          <w:color w:val="000000" w:themeColor="text1"/>
          <w:sz w:val="32"/>
          <w:szCs w:val="32"/>
          <w:highlight w:val="none"/>
          <w:lang w:val="en-US" w:eastAsia="zh-CN"/>
          <w14:textFill>
            <w14:solidFill>
              <w14:schemeClr w14:val="tx1"/>
            </w14:solidFill>
          </w14:textFill>
        </w:rPr>
        <w:t>2次检查、省级河长制工作督导、</w:t>
      </w:r>
      <w:r>
        <w:rPr>
          <w:rFonts w:hint="eastAsia" w:ascii="仿宋_GB2312" w:eastAsia="仿宋_GB2312"/>
          <w:color w:val="000000" w:themeColor="text1"/>
          <w:sz w:val="32"/>
          <w:szCs w:val="32"/>
          <w14:textFill>
            <w14:solidFill>
              <w14:schemeClr w14:val="tx1"/>
            </w14:solidFill>
          </w14:textFill>
        </w:rPr>
        <w:t>勘测设计调研</w:t>
      </w:r>
      <w:r>
        <w:rPr>
          <w:rFonts w:hint="eastAsia" w:ascii="仿宋_GB2312" w:eastAsia="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highlight w:val="none"/>
          <w14:textFill>
            <w14:solidFill>
              <w14:schemeClr w14:val="tx1"/>
            </w14:solidFill>
          </w14:textFill>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56" w:name="_Toc15396610"/>
      <w:bookmarkStart w:id="57" w:name="_Toc15377218"/>
    </w:p>
    <w:p>
      <w:pPr>
        <w:spacing w:line="600" w:lineRule="exact"/>
        <w:ind w:firstLine="640"/>
        <w:outlineLvl w:val="1"/>
        <w:rPr>
          <w:rStyle w:val="27"/>
          <w:rFonts w:ascii="黑体" w:hAnsi="黑体" w:eastAsia="黑体"/>
          <w:color w:val="auto"/>
          <w:highlight w:val="none"/>
        </w:rPr>
      </w:pPr>
      <w:bookmarkStart w:id="58" w:name="_Toc21677"/>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56"/>
      <w:bookmarkEnd w:id="57"/>
      <w:bookmarkEnd w:id="5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10195.95</w:t>
      </w:r>
      <w:r>
        <w:rPr>
          <w:rFonts w:hint="eastAsia" w:ascii="仿宋_GB2312" w:eastAsia="仿宋_GB2312"/>
          <w:color w:val="auto"/>
          <w:sz w:val="32"/>
          <w:szCs w:val="32"/>
          <w:highlight w:val="none"/>
        </w:rPr>
        <w:t>万元。</w:t>
      </w:r>
      <w:r>
        <w:rPr>
          <w:rFonts w:hint="eastAsia" w:ascii="仿宋_GB2312" w:eastAsia="仿宋_GB2312"/>
          <w:color w:val="000000" w:themeColor="text1"/>
          <w:sz w:val="32"/>
          <w:szCs w:val="32"/>
          <w:highlight w:val="none"/>
          <w:lang w:eastAsia="zh-CN"/>
          <w14:textFill>
            <w14:solidFill>
              <w14:schemeClr w14:val="tx1"/>
            </w14:solidFill>
          </w14:textFill>
        </w:rPr>
        <w:t>较</w:t>
      </w:r>
      <w:r>
        <w:rPr>
          <w:rFonts w:hint="eastAsia" w:ascii="仿宋_GB2312" w:eastAsia="仿宋_GB2312"/>
          <w:color w:val="000000" w:themeColor="text1"/>
          <w:sz w:val="32"/>
          <w:szCs w:val="32"/>
          <w:highlight w:val="none"/>
          <w:lang w:val="en-US" w:eastAsia="zh-CN"/>
          <w14:textFill>
            <w14:solidFill>
              <w14:schemeClr w14:val="tx1"/>
            </w14:solidFill>
          </w14:textFill>
        </w:rPr>
        <w:t>2021年增加1595.95万元，增长18.56%。本单位</w:t>
      </w:r>
      <w:r>
        <w:rPr>
          <w:rFonts w:hint="eastAsia" w:ascii="仿宋_GB2312" w:eastAsia="仿宋_GB2312"/>
          <w:color w:val="000000" w:themeColor="text1"/>
          <w:sz w:val="32"/>
          <w:szCs w:val="32"/>
          <w:highlight w:val="none"/>
          <w14:textFill>
            <w14:solidFill>
              <w14:schemeClr w14:val="tx1"/>
            </w14:solidFill>
          </w14:textFill>
        </w:rPr>
        <w:t>政府性基金预算</w:t>
      </w:r>
      <w:r>
        <w:rPr>
          <w:rFonts w:hint="eastAsia" w:ascii="仿宋_GB2312" w:eastAsia="仿宋_GB2312"/>
          <w:color w:val="000000" w:themeColor="text1"/>
          <w:sz w:val="32"/>
          <w:szCs w:val="32"/>
          <w:highlight w:val="none"/>
          <w:lang w:eastAsia="zh-CN"/>
          <w14:textFill>
            <w14:solidFill>
              <w14:schemeClr w14:val="tx1"/>
            </w14:solidFill>
          </w14:textFill>
        </w:rPr>
        <w:t>财政</w:t>
      </w:r>
      <w:r>
        <w:rPr>
          <w:rFonts w:hint="eastAsia" w:ascii="仿宋_GB2312" w:eastAsia="仿宋_GB2312"/>
          <w:color w:val="000000" w:themeColor="text1"/>
          <w:sz w:val="32"/>
          <w:szCs w:val="32"/>
          <w:highlight w:val="none"/>
          <w14:textFill>
            <w14:solidFill>
              <w14:schemeClr w14:val="tx1"/>
            </w14:solidFill>
          </w14:textFill>
        </w:rPr>
        <w:t>拨款</w:t>
      </w:r>
      <w:r>
        <w:rPr>
          <w:rFonts w:hint="eastAsia" w:ascii="仿宋_GB2312" w:eastAsia="仿宋_GB2312"/>
          <w:color w:val="000000" w:themeColor="text1"/>
          <w:sz w:val="32"/>
          <w:szCs w:val="32"/>
          <w:highlight w:val="none"/>
          <w:lang w:eastAsia="zh-CN"/>
          <w14:textFill>
            <w14:solidFill>
              <w14:schemeClr w14:val="tx1"/>
            </w14:solidFill>
          </w14:textFill>
        </w:rPr>
        <w:t>主要用于支付巴河二期防洪工程项目回购款，</w:t>
      </w:r>
      <w:r>
        <w:rPr>
          <w:rFonts w:hint="eastAsia" w:ascii="仿宋_GB2312" w:eastAsia="仿宋_GB2312"/>
          <w:color w:val="000000" w:themeColor="text1"/>
          <w:sz w:val="32"/>
          <w:szCs w:val="32"/>
          <w:highlight w:val="none"/>
          <w:lang w:val="en-US" w:eastAsia="zh-CN"/>
          <w14:textFill>
            <w14:solidFill>
              <w14:schemeClr w14:val="tx1"/>
            </w14:solidFill>
          </w14:textFill>
        </w:rPr>
        <w:t>回购期间每年支付金额存在波动。</w:t>
      </w:r>
    </w:p>
    <w:p>
      <w:pPr>
        <w:numPr>
          <w:ilvl w:val="0"/>
          <w:numId w:val="4"/>
        </w:numPr>
        <w:spacing w:line="600" w:lineRule="exact"/>
        <w:ind w:firstLine="640"/>
        <w:outlineLvl w:val="1"/>
        <w:rPr>
          <w:rStyle w:val="27"/>
          <w:rFonts w:ascii="黑体" w:hAnsi="黑体" w:eastAsia="黑体"/>
          <w:b w:val="0"/>
          <w:color w:val="auto"/>
          <w:highlight w:val="none"/>
        </w:rPr>
      </w:pPr>
      <w:bookmarkStart w:id="59" w:name="_Toc15377219"/>
      <w:bookmarkStart w:id="60" w:name="_Toc15396611"/>
      <w:bookmarkStart w:id="61" w:name="_Toc19310"/>
      <w:r>
        <w:rPr>
          <w:rStyle w:val="27"/>
          <w:rFonts w:hint="eastAsia" w:ascii="黑体" w:hAnsi="黑体" w:eastAsia="黑体"/>
          <w:b w:val="0"/>
          <w:color w:val="auto"/>
          <w:highlight w:val="none"/>
        </w:rPr>
        <w:t>国有资本经营预算支出决算情况说明</w:t>
      </w:r>
      <w:bookmarkEnd w:id="59"/>
      <w:bookmarkEnd w:id="60"/>
      <w:bookmarkEnd w:id="61"/>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7"/>
          <w:rFonts w:hint="eastAsia" w:ascii="黑体" w:hAnsi="黑体" w:eastAsia="黑体"/>
          <w:b w:val="0"/>
          <w:color w:val="auto"/>
          <w:highlight w:val="none"/>
        </w:rPr>
      </w:pPr>
      <w:bookmarkStart w:id="62" w:name="_Toc2285"/>
      <w:bookmarkStart w:id="63" w:name="_Toc15377221"/>
      <w:bookmarkStart w:id="64" w:name="_Toc15396612"/>
      <w:r>
        <w:rPr>
          <w:rStyle w:val="27"/>
          <w:rFonts w:hint="eastAsia" w:ascii="黑体" w:hAnsi="黑体" w:eastAsia="黑体"/>
          <w:b w:val="0"/>
          <w:color w:val="auto"/>
          <w:highlight w:val="none"/>
        </w:rPr>
        <w:t>其他重要事项的情况说明</w:t>
      </w:r>
      <w:bookmarkEnd w:id="62"/>
      <w:bookmarkEnd w:id="63"/>
      <w:bookmarkEnd w:id="64"/>
    </w:p>
    <w:p>
      <w:pPr>
        <w:spacing w:line="600" w:lineRule="exact"/>
        <w:ind w:firstLine="643" w:firstLineChars="200"/>
        <w:outlineLvl w:val="2"/>
        <w:rPr>
          <w:rFonts w:ascii="仿宋" w:hAnsi="仿宋" w:eastAsia="仿宋"/>
          <w:color w:val="auto"/>
          <w:sz w:val="32"/>
          <w:szCs w:val="32"/>
          <w:highlight w:val="none"/>
        </w:rPr>
      </w:pPr>
      <w:bookmarkStart w:id="65" w:name="_Toc15377222"/>
      <w:r>
        <w:rPr>
          <w:rFonts w:hint="eastAsia" w:ascii="仿宋" w:hAnsi="仿宋" w:eastAsia="仿宋"/>
          <w:b/>
          <w:color w:val="auto"/>
          <w:sz w:val="32"/>
          <w:szCs w:val="32"/>
          <w:highlight w:val="none"/>
        </w:rPr>
        <w:t>（一）机关运行经费支出情况</w:t>
      </w:r>
      <w:bookmarkEnd w:id="65"/>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市水利局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160.20</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33.53</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26.47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下属单位合并</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人员增加</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6" w:name="_Toc15377223"/>
      <w:r>
        <w:rPr>
          <w:rFonts w:hint="eastAsia" w:ascii="仿宋" w:hAnsi="仿宋" w:eastAsia="仿宋"/>
          <w:b/>
          <w:color w:val="auto"/>
          <w:sz w:val="32"/>
          <w:szCs w:val="32"/>
          <w:highlight w:val="none"/>
        </w:rPr>
        <w:t>（二）政府采购支出情况</w:t>
      </w:r>
      <w:bookmarkEnd w:id="6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市水利局机关</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4.5</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4.5</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质安站开展质量安全监督检查业务工作</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7" w:name="_Toc15377224"/>
      <w:r>
        <w:rPr>
          <w:rFonts w:hint="eastAsia" w:ascii="仿宋" w:hAnsi="仿宋" w:eastAsia="仿宋"/>
          <w:b/>
          <w:color w:val="auto"/>
          <w:sz w:val="32"/>
          <w:szCs w:val="32"/>
          <w:highlight w:val="none"/>
        </w:rPr>
        <w:t>（三）国有资产占有使用情况</w:t>
      </w:r>
      <w:bookmarkEnd w:id="67"/>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市水利局机关</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w:t>
      </w:r>
      <w:r>
        <w:rPr>
          <w:rFonts w:hint="eastAsia" w:ascii="仿宋_GB2312" w:eastAsia="仿宋_GB2312"/>
          <w:color w:val="000000" w:themeColor="text1"/>
          <w:sz w:val="32"/>
          <w:szCs w:val="32"/>
          <w:highlight w:val="none"/>
          <w14:textFill>
            <w14:solidFill>
              <w14:schemeClr w14:val="tx1"/>
            </w14:solidFill>
          </w14:textFill>
        </w:rPr>
        <w:t>其他用车</w:t>
      </w:r>
      <w:r>
        <w:rPr>
          <w:rFonts w:hint="eastAsia" w:ascii="仿宋_GB2312" w:eastAsia="仿宋_GB2312"/>
          <w:color w:val="000000" w:themeColor="text1"/>
          <w:sz w:val="32"/>
          <w:szCs w:val="32"/>
          <w:highlight w:val="none"/>
          <w:lang w:val="en-US" w:eastAsia="zh-CN"/>
          <w14:textFill>
            <w14:solidFill>
              <w14:schemeClr w14:val="tx1"/>
            </w14:solidFill>
          </w14:textFill>
        </w:rPr>
        <w:t>2辆，</w:t>
      </w:r>
      <w:r>
        <w:rPr>
          <w:rFonts w:hint="eastAsia" w:ascii="仿宋_GB2312" w:eastAsia="仿宋_GB2312"/>
          <w:color w:val="000000" w:themeColor="text1"/>
          <w:sz w:val="32"/>
          <w:szCs w:val="32"/>
          <w:highlight w:val="none"/>
          <w14:textFill>
            <w14:solidFill>
              <w14:schemeClr w14:val="tx1"/>
            </w14:solidFill>
          </w14:textFill>
        </w:rPr>
        <w:t>其他用车主要是用于</w:t>
      </w:r>
      <w:r>
        <w:rPr>
          <w:rFonts w:hint="eastAsia" w:ascii="仿宋_GB2312" w:eastAsia="仿宋_GB2312"/>
          <w:color w:val="000000" w:themeColor="text1"/>
          <w:sz w:val="32"/>
          <w:szCs w:val="32"/>
          <w:highlight w:val="none"/>
          <w:lang w:eastAsia="zh-CN"/>
          <w14:textFill>
            <w14:solidFill>
              <w14:schemeClr w14:val="tx1"/>
            </w14:solidFill>
          </w14:textFill>
        </w:rPr>
        <w:t>公务出行保障、防汛应急抢险</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6"/>
        <w:ind w:firstLine="640" w:firstLineChars="200"/>
        <w:rPr>
          <w:color w:val="auto"/>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hAnsi="仿宋_GB2312" w:cs="仿宋_GB2312"/>
          <w:color w:val="auto"/>
          <w:sz w:val="32"/>
          <w:szCs w:val="32"/>
          <w:highlight w:val="none"/>
          <w:lang w:val="en-US" w:eastAsia="zh-CN"/>
        </w:rPr>
        <w:t>49</w:t>
      </w:r>
      <w:r>
        <w:rPr>
          <w:rFonts w:hint="eastAsia" w:ascii="仿宋_GB2312" w:hAnsi="仿宋_GB2312" w:eastAsia="仿宋_GB2312" w:cs="仿宋_GB2312"/>
          <w:color w:val="auto"/>
          <w:sz w:val="32"/>
          <w:szCs w:val="32"/>
          <w:highlight w:val="none"/>
        </w:rPr>
        <w:t>个项目</w:t>
      </w:r>
      <w:r>
        <w:rPr>
          <w:rFonts w:hint="eastAsia" w:hAnsi="仿宋_GB2312" w:cs="仿宋_GB2312"/>
          <w:color w:val="auto"/>
          <w:sz w:val="32"/>
          <w:szCs w:val="32"/>
          <w:highlight w:val="none"/>
          <w:lang w:eastAsia="zh-CN"/>
        </w:rPr>
        <w:t>编制了绩效目标，预算执行过程中，组织对</w:t>
      </w:r>
      <w:r>
        <w:rPr>
          <w:rFonts w:hint="eastAsia" w:hAnsi="仿宋_GB2312" w:cs="仿宋_GB2312"/>
          <w:color w:val="auto"/>
          <w:sz w:val="32"/>
          <w:szCs w:val="32"/>
          <w:highlight w:val="none"/>
          <w:lang w:val="en-US" w:eastAsia="zh-CN"/>
        </w:rPr>
        <w:t>49</w:t>
      </w:r>
      <w:r>
        <w:rPr>
          <w:rFonts w:hint="eastAsia" w:hAnsi="仿宋_GB2312" w:cs="仿宋_GB2312"/>
          <w:color w:val="auto"/>
          <w:sz w:val="32"/>
          <w:szCs w:val="32"/>
          <w:highlight w:val="none"/>
          <w:lang w:eastAsia="zh-CN"/>
        </w:rPr>
        <w:t>个项目开展绩效自评，</w:t>
      </w:r>
      <w:r>
        <w:rPr>
          <w:rFonts w:hint="eastAsia" w:ascii="仿宋_GB2312" w:hAnsi="仿宋_GB2312" w:eastAsia="仿宋_GB2312" w:cs="仿宋_GB2312"/>
          <w:color w:val="auto"/>
          <w:sz w:val="32"/>
          <w:szCs w:val="32"/>
          <w:highlight w:val="none"/>
        </w:rPr>
        <w:t>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6"/>
          <w:rFonts w:ascii="黑体" w:hAnsi="黑体" w:eastAsia="黑体"/>
          <w:b w:val="0"/>
          <w:color w:val="auto"/>
          <w:highlight w:val="none"/>
        </w:rPr>
      </w:pPr>
      <w:bookmarkStart w:id="68" w:name="_Toc15377225"/>
      <w:bookmarkStart w:id="69" w:name="_Toc29468"/>
      <w:bookmarkStart w:id="70"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68"/>
      <w:bookmarkEnd w:id="69"/>
      <w:bookmarkEnd w:id="70"/>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w:t>
      </w:r>
      <w:r>
        <w:rPr>
          <w:rFonts w:hint="eastAsia" w:ascii="仿宋_GB2312" w:eastAsia="仿宋_GB2312"/>
          <w:color w:val="auto"/>
          <w:sz w:val="32"/>
          <w:szCs w:val="32"/>
          <w:highlight w:val="none"/>
          <w:lang w:eastAsia="zh-CN"/>
        </w:rPr>
        <w:t>支出：</w:t>
      </w:r>
      <w:r>
        <w:rPr>
          <w:rFonts w:hint="eastAsia" w:ascii="仿宋_GB2312" w:eastAsia="仿宋_GB2312"/>
          <w:color w:val="000000" w:themeColor="text1"/>
          <w:sz w:val="32"/>
          <w:szCs w:val="32"/>
          <w14:textFill>
            <w14:solidFill>
              <w14:schemeClr w14:val="tx1"/>
            </w14:solidFill>
          </w14:textFill>
        </w:rPr>
        <w:t>指用于行政事业单位养老方面的支出。</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卫生健康支出：</w:t>
      </w:r>
      <w:r>
        <w:rPr>
          <w:rFonts w:hint="eastAsia" w:ascii="仿宋_GB2312" w:eastAsia="仿宋_GB2312"/>
          <w:color w:val="000000" w:themeColor="text1"/>
          <w:sz w:val="32"/>
          <w:szCs w:val="32"/>
          <w14:textFill>
            <w14:solidFill>
              <w14:schemeClr w14:val="tx1"/>
            </w14:solidFill>
          </w14:textFill>
        </w:rPr>
        <w:t>指行政事业单位医疗方面的支出。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农林水</w:t>
      </w:r>
      <w:r>
        <w:rPr>
          <w:rFonts w:hint="eastAsia" w:ascii="仿宋_GB2312" w:eastAsia="仿宋_GB2312"/>
          <w:color w:val="auto"/>
          <w:sz w:val="32"/>
          <w:szCs w:val="32"/>
          <w:highlight w:val="none"/>
          <w:lang w:eastAsia="zh-CN"/>
        </w:rPr>
        <w:t>支出：</w:t>
      </w:r>
      <w:r>
        <w:rPr>
          <w:rFonts w:hint="eastAsia" w:ascii="仿宋_GB2312" w:eastAsia="仿宋_GB2312"/>
          <w:color w:val="000000" w:themeColor="text1"/>
          <w:sz w:val="32"/>
          <w:szCs w:val="32"/>
          <w14:textFill>
            <w14:solidFill>
              <w14:schemeClr w14:val="tx1"/>
            </w14:solidFill>
          </w14:textFill>
        </w:rPr>
        <w:t>指政府用于水利方面的支出。</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住房保障</w:t>
      </w:r>
      <w:r>
        <w:rPr>
          <w:rFonts w:hint="eastAsia" w:ascii="仿宋_GB2312" w:eastAsia="仿宋_GB2312"/>
          <w:color w:val="auto"/>
          <w:sz w:val="32"/>
          <w:szCs w:val="32"/>
          <w:highlight w:val="none"/>
          <w:lang w:eastAsia="zh-CN"/>
        </w:rPr>
        <w:t>：</w:t>
      </w:r>
      <w:r>
        <w:rPr>
          <w:rFonts w:hint="eastAsia" w:ascii="仿宋_GB2312" w:eastAsia="仿宋_GB2312"/>
          <w:color w:val="000000" w:themeColor="text1"/>
          <w:sz w:val="32"/>
          <w:szCs w:val="32"/>
          <w14:textFill>
            <w14:solidFill>
              <w14:schemeClr w14:val="tx1"/>
            </w14:solidFill>
          </w14:textFill>
        </w:rPr>
        <w:t>指行政事业单位用财政拨款资金和其他资金等安排的住房改革支出。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灾害防治及应急管理支出：指应急管理事务支出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both"/>
        <w:outlineLvl w:val="0"/>
        <w:rPr>
          <w:rFonts w:hint="eastAsia" w:ascii="黑体" w:hAnsi="黑体" w:eastAsia="黑体"/>
          <w:color w:val="auto"/>
          <w:sz w:val="44"/>
          <w:szCs w:val="44"/>
          <w:highlight w:val="none"/>
        </w:rPr>
      </w:pPr>
      <w:bookmarkStart w:id="71" w:name="_Toc29883"/>
      <w:bookmarkStart w:id="72" w:name="_Toc15396614"/>
      <w:bookmarkStart w:id="73" w:name="_Toc15377226"/>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bookmarkStart w:id="104" w:name="_GoBack"/>
      <w:bookmarkEnd w:id="104"/>
    </w:p>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Style w:val="26"/>
          <w:rFonts w:ascii="黑体" w:hAnsi="黑体" w:eastAsia="黑体"/>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71"/>
      <w:bookmarkEnd w:id="72"/>
    </w:p>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p>
      <w:pPr>
        <w:spacing w:line="600" w:lineRule="exact"/>
        <w:ind w:firstLine="640" w:firstLineChars="200"/>
        <w:jc w:val="left"/>
        <w:outlineLvl w:val="1"/>
        <w:rPr>
          <w:rFonts w:hint="eastAsia" w:ascii="仿宋_GB2312" w:hAnsi="Calibri" w:eastAsia="仿宋_GB2312" w:cs="仿宋"/>
          <w:color w:val="auto"/>
          <w:kern w:val="0"/>
          <w:sz w:val="32"/>
          <w:szCs w:val="32"/>
          <w:highlight w:val="none"/>
          <w:lang w:val="en-US" w:eastAsia="zh-CN" w:bidi="ar-SA"/>
        </w:rPr>
      </w:pPr>
      <w:bookmarkStart w:id="74" w:name="_Toc30411"/>
      <w:bookmarkStart w:id="75" w:name="_Toc15396618"/>
      <w:r>
        <w:rPr>
          <w:rFonts w:hint="eastAsia" w:ascii="仿宋_GB2312" w:hAnsi="Calibri" w:eastAsia="仿宋_GB2312" w:cs="仿宋"/>
          <w:color w:val="auto"/>
          <w:kern w:val="0"/>
          <w:sz w:val="32"/>
          <w:szCs w:val="32"/>
          <w:highlight w:val="none"/>
          <w:lang w:val="en-US" w:eastAsia="zh-CN" w:bidi="ar-SA"/>
        </w:rPr>
        <w:t>部门预算项目支出绩效自评表（2022年度）</w:t>
      </w:r>
      <w:bookmarkEnd w:id="74"/>
      <w:bookmarkStart w:id="76" w:name="_Toc17792"/>
      <w:r>
        <w:rPr>
          <w:rFonts w:hint="eastAsia" w:ascii="仿宋_GB2312" w:hAnsi="Calibri" w:eastAsia="仿宋_GB2312" w:cs="仿宋"/>
          <w:color w:val="auto"/>
          <w:kern w:val="0"/>
          <w:sz w:val="32"/>
          <w:szCs w:val="32"/>
          <w:highlight w:val="none"/>
          <w:lang w:val="en-US" w:eastAsia="zh-CN" w:bidi="ar-SA"/>
        </w:rPr>
        <w:t>，该表格另作为附件予以公开。</w:t>
      </w:r>
      <w:bookmarkEnd w:id="76"/>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spacing w:line="600" w:lineRule="exact"/>
        <w:jc w:val="both"/>
        <w:outlineLvl w:val="0"/>
        <w:rPr>
          <w:rFonts w:hint="eastAsia" w:ascii="黑体" w:hAnsi="黑体" w:eastAsia="黑体"/>
          <w:color w:val="auto"/>
          <w:sz w:val="44"/>
          <w:szCs w:val="44"/>
          <w:highlight w:val="none"/>
        </w:rPr>
      </w:pPr>
      <w:bookmarkStart w:id="77" w:name="_Toc23972"/>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73"/>
      <w:bookmarkEnd w:id="75"/>
      <w:bookmarkEnd w:id="77"/>
      <w:bookmarkStart w:id="78" w:name="_Toc15396619"/>
    </w:p>
    <w:p>
      <w:pPr>
        <w:pStyle w:val="4"/>
        <w:rPr>
          <w:rFonts w:ascii="仿宋" w:hAnsi="仿宋" w:eastAsia="仿宋"/>
          <w:color w:val="auto"/>
          <w:highlight w:val="none"/>
        </w:rPr>
      </w:pPr>
      <w:bookmarkStart w:id="79" w:name="_Toc16284"/>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78"/>
      <w:bookmarkEnd w:id="79"/>
    </w:p>
    <w:p>
      <w:pPr>
        <w:pStyle w:val="4"/>
        <w:rPr>
          <w:rFonts w:ascii="仿宋" w:hAnsi="仿宋" w:eastAsia="仿宋"/>
          <w:color w:val="auto"/>
          <w:highlight w:val="none"/>
        </w:rPr>
      </w:pPr>
      <w:bookmarkStart w:id="80" w:name="_Toc15396620"/>
      <w:bookmarkStart w:id="81" w:name="_Toc13562"/>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80"/>
      <w:bookmarkEnd w:id="81"/>
    </w:p>
    <w:p>
      <w:pPr>
        <w:pStyle w:val="4"/>
        <w:rPr>
          <w:rFonts w:ascii="仿宋" w:hAnsi="仿宋" w:eastAsia="仿宋"/>
          <w:color w:val="auto"/>
          <w:highlight w:val="none"/>
        </w:rPr>
      </w:pPr>
      <w:bookmarkStart w:id="82" w:name="_Toc29633"/>
      <w:bookmarkStart w:id="83"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82"/>
      <w:bookmarkEnd w:id="83"/>
    </w:p>
    <w:p>
      <w:pPr>
        <w:pStyle w:val="4"/>
        <w:rPr>
          <w:rFonts w:ascii="仿宋" w:hAnsi="仿宋" w:eastAsia="仿宋"/>
          <w:b w:val="0"/>
          <w:color w:val="auto"/>
          <w:highlight w:val="none"/>
        </w:rPr>
      </w:pPr>
      <w:bookmarkStart w:id="84" w:name="_Toc18612"/>
      <w:bookmarkStart w:id="85"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84"/>
      <w:bookmarkEnd w:id="85"/>
    </w:p>
    <w:p>
      <w:pPr>
        <w:pStyle w:val="4"/>
        <w:rPr>
          <w:rStyle w:val="27"/>
          <w:rFonts w:ascii="仿宋" w:hAnsi="仿宋" w:eastAsia="仿宋"/>
          <w:b w:val="0"/>
          <w:bCs w:val="0"/>
          <w:color w:val="auto"/>
          <w:highlight w:val="none"/>
        </w:rPr>
      </w:pPr>
      <w:bookmarkStart w:id="86" w:name="_Toc15396623"/>
      <w:bookmarkStart w:id="87" w:name="_Toc3126"/>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86"/>
      <w:bookmarkEnd w:id="87"/>
      <w:bookmarkStart w:id="88" w:name="_Toc15396624"/>
    </w:p>
    <w:p>
      <w:pPr>
        <w:pStyle w:val="4"/>
        <w:rPr>
          <w:rFonts w:ascii="仿宋" w:hAnsi="仿宋" w:eastAsia="仿宋"/>
          <w:color w:val="auto"/>
          <w:highlight w:val="none"/>
        </w:rPr>
      </w:pPr>
      <w:bookmarkStart w:id="89" w:name="_Toc22549"/>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88"/>
      <w:bookmarkEnd w:id="89"/>
    </w:p>
    <w:p>
      <w:pPr>
        <w:pStyle w:val="4"/>
        <w:rPr>
          <w:rFonts w:ascii="仿宋" w:hAnsi="仿宋" w:eastAsia="仿宋"/>
          <w:color w:val="auto"/>
          <w:highlight w:val="none"/>
        </w:rPr>
      </w:pPr>
      <w:bookmarkStart w:id="90" w:name="_Toc22772"/>
      <w:bookmarkStart w:id="91"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90"/>
      <w:bookmarkEnd w:id="91"/>
    </w:p>
    <w:p>
      <w:pPr>
        <w:pStyle w:val="4"/>
        <w:rPr>
          <w:rFonts w:ascii="仿宋" w:hAnsi="仿宋" w:eastAsia="仿宋"/>
          <w:color w:val="auto"/>
          <w:highlight w:val="none"/>
        </w:rPr>
      </w:pPr>
      <w:bookmarkStart w:id="92" w:name="_Toc15396626"/>
      <w:bookmarkStart w:id="93" w:name="_Toc2913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92"/>
      <w:bookmarkEnd w:id="93"/>
    </w:p>
    <w:p>
      <w:pPr>
        <w:pStyle w:val="4"/>
        <w:rPr>
          <w:rFonts w:ascii="仿宋" w:hAnsi="仿宋" w:eastAsia="仿宋"/>
          <w:color w:val="auto"/>
          <w:highlight w:val="none"/>
        </w:rPr>
      </w:pPr>
      <w:bookmarkStart w:id="94" w:name="_Toc15396627"/>
      <w:bookmarkStart w:id="95" w:name="_Toc14853"/>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94"/>
      <w:bookmarkEnd w:id="95"/>
    </w:p>
    <w:p>
      <w:pPr>
        <w:pStyle w:val="4"/>
        <w:rPr>
          <w:rFonts w:ascii="仿宋" w:hAnsi="仿宋" w:eastAsia="仿宋"/>
          <w:color w:val="auto"/>
          <w:highlight w:val="none"/>
        </w:rPr>
      </w:pPr>
      <w:bookmarkStart w:id="96" w:name="_Toc15396628"/>
      <w:bookmarkStart w:id="97" w:name="_Toc14713"/>
      <w:r>
        <w:rPr>
          <w:rStyle w:val="27"/>
          <w:rFonts w:hint="eastAsia" w:ascii="仿宋" w:hAnsi="仿宋" w:eastAsia="仿宋"/>
          <w:b w:val="0"/>
          <w:bCs w:val="0"/>
          <w:color w:val="auto"/>
          <w:highlight w:val="none"/>
        </w:rPr>
        <w:t>十、</w:t>
      </w:r>
      <w:bookmarkEnd w:id="96"/>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97"/>
    </w:p>
    <w:p>
      <w:pPr>
        <w:pStyle w:val="4"/>
        <w:rPr>
          <w:rFonts w:ascii="仿宋" w:hAnsi="仿宋" w:eastAsia="仿宋"/>
          <w:color w:val="auto"/>
          <w:highlight w:val="none"/>
        </w:rPr>
      </w:pPr>
      <w:bookmarkStart w:id="98" w:name="_Toc15396629"/>
      <w:bookmarkStart w:id="99" w:name="_Toc16785"/>
      <w:r>
        <w:rPr>
          <w:rStyle w:val="27"/>
          <w:rFonts w:hint="eastAsia" w:ascii="仿宋" w:hAnsi="仿宋" w:eastAsia="仿宋"/>
          <w:b w:val="0"/>
          <w:bCs w:val="0"/>
          <w:color w:val="auto"/>
          <w:highlight w:val="none"/>
        </w:rPr>
        <w:t>十一、</w:t>
      </w:r>
      <w:bookmarkEnd w:id="98"/>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99"/>
    </w:p>
    <w:p>
      <w:pPr>
        <w:pStyle w:val="4"/>
        <w:rPr>
          <w:rFonts w:ascii="仿宋" w:hAnsi="仿宋" w:eastAsia="仿宋"/>
          <w:color w:val="auto"/>
          <w:highlight w:val="none"/>
        </w:rPr>
      </w:pPr>
      <w:bookmarkStart w:id="100" w:name="_Toc15396630"/>
      <w:bookmarkStart w:id="101" w:name="_Toc10717"/>
      <w:r>
        <w:rPr>
          <w:rStyle w:val="27"/>
          <w:rFonts w:hint="eastAsia" w:ascii="仿宋" w:hAnsi="仿宋" w:eastAsia="仿宋"/>
          <w:b w:val="0"/>
          <w:bCs w:val="0"/>
          <w:color w:val="auto"/>
          <w:highlight w:val="none"/>
        </w:rPr>
        <w:t>十二、</w:t>
      </w:r>
      <w:bookmarkEnd w:id="100"/>
      <w:r>
        <w:rPr>
          <w:rStyle w:val="27"/>
          <w:rFonts w:hint="eastAsia" w:ascii="仿宋" w:hAnsi="仿宋" w:eastAsia="仿宋"/>
          <w:b w:val="0"/>
          <w:bCs w:val="0"/>
          <w:color w:val="auto"/>
          <w:highlight w:val="none"/>
          <w:lang w:eastAsia="zh-CN"/>
        </w:rPr>
        <w:t>国有资本经营预算财政拨款支出决算表</w:t>
      </w:r>
      <w:bookmarkEnd w:id="101"/>
    </w:p>
    <w:p>
      <w:pPr>
        <w:pStyle w:val="4"/>
        <w:rPr>
          <w:rFonts w:hint="eastAsia" w:eastAsia="仿宋"/>
          <w:color w:val="auto"/>
          <w:highlight w:val="none"/>
          <w:lang w:eastAsia="zh-CN"/>
        </w:rPr>
      </w:pPr>
      <w:bookmarkStart w:id="102" w:name="_Toc15396631"/>
      <w:bookmarkStart w:id="103" w:name="_Toc29550"/>
      <w:r>
        <w:rPr>
          <w:rStyle w:val="27"/>
          <w:rFonts w:hint="eastAsia" w:ascii="仿宋" w:hAnsi="仿宋" w:eastAsia="仿宋"/>
          <w:b w:val="0"/>
          <w:bCs w:val="0"/>
          <w:color w:val="auto"/>
          <w:highlight w:val="none"/>
        </w:rPr>
        <w:t>十三、</w:t>
      </w:r>
      <w:bookmarkEnd w:id="102"/>
      <w:r>
        <w:rPr>
          <w:rStyle w:val="27"/>
          <w:rFonts w:hint="eastAsia" w:ascii="仿宋" w:hAnsi="仿宋" w:eastAsia="仿宋"/>
          <w:b w:val="0"/>
          <w:bCs w:val="0"/>
          <w:color w:val="auto"/>
          <w:highlight w:val="none"/>
          <w:lang w:eastAsia="zh-CN"/>
        </w:rPr>
        <w:t>财政拨款“三公”经费支出决算表</w:t>
      </w:r>
      <w:bookmarkEnd w:id="10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D2246F-66AA-4F10-9F38-BBF9EB71E07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DE6D6A1-2E4C-4E29-9A85-C9DB396498F1}"/>
  </w:font>
  <w:font w:name="Cambria">
    <w:panose1 w:val="02040503050406030204"/>
    <w:charset w:val="00"/>
    <w:family w:val="roman"/>
    <w:pitch w:val="default"/>
    <w:sig w:usb0="E00006FF" w:usb1="420024FF" w:usb2="02000000" w:usb3="00000000" w:csb0="2000019F" w:csb1="00000000"/>
    <w:embedRegular r:id="rId3" w:fontKey="{371DAB9E-C727-43FC-A98E-E31B60A9C06C}"/>
  </w:font>
  <w:font w:name="仿宋_GB2312">
    <w:panose1 w:val="02010609030101010101"/>
    <w:charset w:val="86"/>
    <w:family w:val="modern"/>
    <w:pitch w:val="default"/>
    <w:sig w:usb0="00000001" w:usb1="080E0000" w:usb2="00000000" w:usb3="00000000" w:csb0="00040000" w:csb1="00000000"/>
    <w:embedRegular r:id="rId4" w:fontKey="{CE58E07D-B52F-4795-B652-5F22D7DAB6AA}"/>
  </w:font>
  <w:font w:name="仿宋">
    <w:panose1 w:val="02010609060101010101"/>
    <w:charset w:val="86"/>
    <w:family w:val="modern"/>
    <w:pitch w:val="default"/>
    <w:sig w:usb0="800002BF" w:usb1="38CF7CFA" w:usb2="00000016" w:usb3="00000000" w:csb0="00040001" w:csb1="00000000"/>
    <w:embedRegular r:id="rId5" w:fontKey="{FF1D2F47-A363-4855-A126-E74CFC5BFF87}"/>
  </w:font>
  <w:font w:name="方正小标宋简体">
    <w:panose1 w:val="02000000000000000000"/>
    <w:charset w:val="86"/>
    <w:family w:val="script"/>
    <w:pitch w:val="default"/>
    <w:sig w:usb0="00000001" w:usb1="08000000" w:usb2="00000000" w:usb3="00000000" w:csb0="00040000" w:csb1="00000000"/>
    <w:embedRegular r:id="rId6" w:fontKey="{E0DC1DAD-08C6-4DE0-B5D1-9CB2701B6743}"/>
  </w:font>
  <w:font w:name="方正仿宋_GBK">
    <w:panose1 w:val="03000509000000000000"/>
    <w:charset w:val="86"/>
    <w:family w:val="auto"/>
    <w:pitch w:val="default"/>
    <w:sig w:usb0="00000001" w:usb1="080E0000" w:usb2="00000000" w:usb3="00000000" w:csb0="00040000" w:csb1="00000000"/>
    <w:embedRegular r:id="rId7" w:fontKey="{E706D665-62B6-44EE-A7B2-988AA195F3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abstractNum w:abstractNumId="4">
    <w:nsid w:val="5DF7732F"/>
    <w:multiLevelType w:val="singleLevel"/>
    <w:tmpl w:val="5DF7732F"/>
    <w:lvl w:ilvl="0" w:tentative="0">
      <w:start w:val="1"/>
      <w:numFmt w:val="decimal"/>
      <w:lvlText w:val="%1."/>
      <w:lvlJc w:val="left"/>
      <w:pPr>
        <w:tabs>
          <w:tab w:val="left" w:pos="312"/>
        </w:tabs>
        <w:ind w:left="-12"/>
      </w:pPr>
      <w:rPr>
        <w:rFonts w:hint="default" w:ascii="方正仿宋_GBK" w:hAnsi="方正仿宋_GBK" w:eastAsia="方正仿宋_GBK" w:cs="方正仿宋_GBK"/>
        <w:b/>
        <w:bCs/>
        <w:sz w:val="32"/>
        <w:szCs w:val="32"/>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2ZmMyMGQzNmZlNTM3YmNjYmYzZGJlZDVmMGE2Nz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79335F"/>
    <w:rsid w:val="053A62B5"/>
    <w:rsid w:val="0A2032A3"/>
    <w:rsid w:val="0B8A37D8"/>
    <w:rsid w:val="0DF9D65B"/>
    <w:rsid w:val="10C055FF"/>
    <w:rsid w:val="118107EC"/>
    <w:rsid w:val="11DD6519"/>
    <w:rsid w:val="16BB723D"/>
    <w:rsid w:val="18015F3F"/>
    <w:rsid w:val="18081FDE"/>
    <w:rsid w:val="19795399"/>
    <w:rsid w:val="1BE8440E"/>
    <w:rsid w:val="1D155CEE"/>
    <w:rsid w:val="1D6F027B"/>
    <w:rsid w:val="1DFF5647"/>
    <w:rsid w:val="1FF7E303"/>
    <w:rsid w:val="20645F10"/>
    <w:rsid w:val="20F57F95"/>
    <w:rsid w:val="2236120F"/>
    <w:rsid w:val="240371BF"/>
    <w:rsid w:val="25711CC6"/>
    <w:rsid w:val="25C741E6"/>
    <w:rsid w:val="27842671"/>
    <w:rsid w:val="29FD04D3"/>
    <w:rsid w:val="2ABE7A3E"/>
    <w:rsid w:val="2CA234A8"/>
    <w:rsid w:val="2EFA178C"/>
    <w:rsid w:val="30B46D73"/>
    <w:rsid w:val="319F7F4E"/>
    <w:rsid w:val="383D272C"/>
    <w:rsid w:val="39AE70AB"/>
    <w:rsid w:val="3BA6CC12"/>
    <w:rsid w:val="3BAF02A6"/>
    <w:rsid w:val="3C0C0783"/>
    <w:rsid w:val="3DBFAF94"/>
    <w:rsid w:val="3F9F3A96"/>
    <w:rsid w:val="3FFD4952"/>
    <w:rsid w:val="46DEB82E"/>
    <w:rsid w:val="48BF60AB"/>
    <w:rsid w:val="493C27E9"/>
    <w:rsid w:val="496F39ED"/>
    <w:rsid w:val="49FF41D3"/>
    <w:rsid w:val="4BE068DB"/>
    <w:rsid w:val="4BF6002B"/>
    <w:rsid w:val="4ECE2238"/>
    <w:rsid w:val="51DB4B86"/>
    <w:rsid w:val="55333C3E"/>
    <w:rsid w:val="57FF80A0"/>
    <w:rsid w:val="595E4853"/>
    <w:rsid w:val="5F3F5F79"/>
    <w:rsid w:val="5FE5BFC8"/>
    <w:rsid w:val="5FF7A954"/>
    <w:rsid w:val="63D906D2"/>
    <w:rsid w:val="64CA39A1"/>
    <w:rsid w:val="676BE620"/>
    <w:rsid w:val="69630ADE"/>
    <w:rsid w:val="6C4A05C8"/>
    <w:rsid w:val="6D3B1A89"/>
    <w:rsid w:val="6DF74003"/>
    <w:rsid w:val="6FFE5134"/>
    <w:rsid w:val="6FFFA3A5"/>
    <w:rsid w:val="707F0D91"/>
    <w:rsid w:val="71BF4EC2"/>
    <w:rsid w:val="72734D90"/>
    <w:rsid w:val="7412278C"/>
    <w:rsid w:val="775D0C56"/>
    <w:rsid w:val="79E7B28D"/>
    <w:rsid w:val="7C52BB2A"/>
    <w:rsid w:val="7DF5C34D"/>
    <w:rsid w:val="7E376A9D"/>
    <w:rsid w:val="7E5FBF57"/>
    <w:rsid w:val="7E6B5792"/>
    <w:rsid w:val="7EAFF415"/>
    <w:rsid w:val="7F771390"/>
    <w:rsid w:val="7F9F20EE"/>
    <w:rsid w:val="7FED5265"/>
    <w:rsid w:val="7FFC18F8"/>
    <w:rsid w:val="9E3A10E2"/>
    <w:rsid w:val="9F57A487"/>
    <w:rsid w:val="B5FFA852"/>
    <w:rsid w:val="B7F9F1CC"/>
    <w:rsid w:val="CBDAA08C"/>
    <w:rsid w:val="CDFEA92E"/>
    <w:rsid w:val="D77E3D69"/>
    <w:rsid w:val="F2E1F9D4"/>
    <w:rsid w:val="F6E8F2F5"/>
    <w:rsid w:val="F77AFC75"/>
    <w:rsid w:val="F7880819"/>
    <w:rsid w:val="F7F39A54"/>
    <w:rsid w:val="FAF7F0C4"/>
    <w:rsid w:val="FCE2DDBB"/>
    <w:rsid w:val="FDB54482"/>
    <w:rsid w:val="FF8E071C"/>
    <w:rsid w:val="FFDB5FB3"/>
    <w:rsid w:val="FFE5A9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eastAsia="宋体" w:cs="Times New Roman"/>
    </w:rPr>
  </w:style>
  <w:style w:type="paragraph" w:styleId="6">
    <w:name w:val="Body Text"/>
    <w:basedOn w:val="1"/>
    <w:next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WPSOffice手动目录 1"/>
    <w:qFormat/>
    <w:uiPriority w:val="0"/>
    <w:pPr>
      <w:ind w:leftChars="0"/>
    </w:pPr>
    <w:rPr>
      <w:rFonts w:asciiTheme="minorHAnsi" w:hAnsiTheme="minorHAnsi" w:eastAsiaTheme="minorEastAsia" w:cstheme="minorBidi"/>
      <w:sz w:val="20"/>
      <w:szCs w:val="20"/>
    </w:rPr>
  </w:style>
  <w:style w:type="paragraph" w:customStyle="1" w:styleId="33">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media/uos/AF8C-50F2/&#24052;&#20013;&#24066;&#27700;&#21033;&#23616;(&#26412;&#32423;)(01541043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media/uos/AF8C-50F2/&#24052;&#20013;&#24066;&#27700;&#21033;&#23616;(&#26412;&#32423;)(01541043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media/uos/AF8C-50F2/&#24052;&#20013;&#24066;&#27700;&#21033;&#23616;(&#26412;&#32423;)(01541043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2"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media/uos/AF8C-50F2/&#24052;&#20013;&#24066;&#27700;&#21033;&#23616;(&#26412;&#32423;)(01541043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media/uos/AF8C-50F2/&#24052;&#20013;&#24066;&#27700;&#21033;&#23616;(&#26412;&#32423;)(01541043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media/uos/AF8C-50F2/&#24052;&#20013;&#24066;&#27700;&#21033;&#23616;(&#26412;&#32423;)(01541043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'[巴中市水利局(本级)(0154104320).XLS]Sheet1'!$G$13</c:f>
              <c:strCache>
                <c:ptCount val="1"/>
                <c:pt idx="0">
                  <c:v>2021</c:v>
                </c:pt>
              </c:strCache>
            </c:strRef>
          </c:tx>
          <c:spPr>
            <a:solidFill>
              <a:schemeClr val="accent6"/>
            </a:solidFill>
            <a:ln>
              <a:noFill/>
            </a:ln>
            <a:effectLst/>
          </c:spPr>
          <c:invertIfNegative val="0"/>
          <c:dLbls>
            <c:delete val="1"/>
          </c:dLbls>
          <c:cat>
            <c:strRef>
              <c:f>'[巴中市水利局(本级)(0154104320).XLS]Sheet1'!$H$12:$I$12</c:f>
              <c:strCache>
                <c:ptCount val="2"/>
                <c:pt idx="0">
                  <c:v>收入</c:v>
                </c:pt>
                <c:pt idx="1">
                  <c:v>支出</c:v>
                </c:pt>
              </c:strCache>
            </c:strRef>
          </c:cat>
          <c:val>
            <c:numRef>
              <c:f>'[巴中市水利局(本级)(0154104320).XLS]Sheet1'!$H$13:$I$13</c:f>
              <c:numCache>
                <c:formatCode>#,##0.00</c:formatCode>
                <c:ptCount val="2"/>
                <c:pt idx="0">
                  <c:v>12166.63</c:v>
                </c:pt>
                <c:pt idx="1">
                  <c:v>9895.62</c:v>
                </c:pt>
              </c:numCache>
            </c:numRef>
          </c:val>
        </c:ser>
        <c:ser>
          <c:idx val="1"/>
          <c:order val="1"/>
          <c:tx>
            <c:strRef>
              <c:f>'[巴中市水利局(本级)(0154104320).XLS]Sheet1'!$G$14</c:f>
              <c:strCache>
                <c:ptCount val="1"/>
                <c:pt idx="0">
                  <c:v>2022</c:v>
                </c:pt>
              </c:strCache>
            </c:strRef>
          </c:tx>
          <c:spPr>
            <a:solidFill>
              <a:schemeClr val="accent5"/>
            </a:solidFill>
            <a:ln>
              <a:noFill/>
            </a:ln>
            <a:effectLst/>
          </c:spPr>
          <c:invertIfNegative val="0"/>
          <c:dLbls>
            <c:delete val="1"/>
          </c:dLbls>
          <c:cat>
            <c:strRef>
              <c:f>'[巴中市水利局(本级)(0154104320).XLS]Sheet1'!$H$12:$I$12</c:f>
              <c:strCache>
                <c:ptCount val="2"/>
                <c:pt idx="0">
                  <c:v>收入</c:v>
                </c:pt>
                <c:pt idx="1">
                  <c:v>支出</c:v>
                </c:pt>
              </c:strCache>
            </c:strRef>
          </c:cat>
          <c:val>
            <c:numRef>
              <c:f>'[巴中市水利局(本级)(0154104320).XLS]Sheet1'!$H$14:$I$14</c:f>
              <c:numCache>
                <c:formatCode>#,##0.00</c:formatCode>
                <c:ptCount val="2"/>
                <c:pt idx="0">
                  <c:v>9394.93</c:v>
                </c:pt>
                <c:pt idx="1">
                  <c:v>13909.07</c:v>
                </c:pt>
              </c:numCache>
            </c:numRef>
          </c:val>
        </c:ser>
        <c:dLbls>
          <c:showLegendKey val="0"/>
          <c:showVal val="0"/>
          <c:showCatName val="0"/>
          <c:showSerName val="0"/>
          <c:showPercent val="0"/>
          <c:showBubbleSize val="0"/>
        </c:dLbls>
        <c:gapWidth val="219"/>
        <c:overlap val="-27"/>
        <c:axId val="775819840"/>
        <c:axId val="689234280"/>
      </c:barChart>
      <c:catAx>
        <c:axId val="7758198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9234280"/>
        <c:crosses val="autoZero"/>
        <c:auto val="1"/>
        <c:lblAlgn val="ctr"/>
        <c:lblOffset val="100"/>
        <c:noMultiLvlLbl val="0"/>
      </c:catAx>
      <c:valAx>
        <c:axId val="689234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58198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'[巴中市水利局(本级)(0154104320).XLS]Sheet1'!$H$12:$I$12</c:f>
              <c:strCache>
                <c:ptCount val="2"/>
                <c:pt idx="0">
                  <c:v>一般公共预算财政拨款收入</c:v>
                </c:pt>
                <c:pt idx="1">
                  <c:v>政府性基金预算财政拨款收入</c:v>
                </c:pt>
              </c:strCache>
            </c:strRef>
          </c:cat>
          <c:val>
            <c:numRef>
              <c:f>'[巴中市水利局(本级)(0154104320).XLS]Sheet1'!$H$13:$I$13</c:f>
              <c:numCache>
                <c:formatCode>0.00%</c:formatCode>
                <c:ptCount val="2"/>
                <c:pt idx="0">
                  <c:v>0.1719</c:v>
                </c:pt>
                <c:pt idx="1">
                  <c:v>0.8281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'[巴中市水利局(本级)(0154104320).XLS]Sheet1'!$H$12:$I$12</c:f>
              <c:strCache>
                <c:ptCount val="2"/>
                <c:pt idx="0">
                  <c:v>基本支出</c:v>
                </c:pt>
                <c:pt idx="1">
                  <c:v>项目支出</c:v>
                </c:pt>
              </c:strCache>
            </c:strRef>
          </c:cat>
          <c:val>
            <c:numRef>
              <c:f>'[巴中市水利局(本级)(0154104320).XLS]Sheet1'!$H$13:$I$13</c:f>
              <c:numCache>
                <c:formatCode>0.00%</c:formatCode>
                <c:ptCount val="2"/>
                <c:pt idx="0">
                  <c:v>0.0786</c:v>
                </c:pt>
                <c:pt idx="1">
                  <c:v>0.9214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[工作簿2]Sheet1!$H$11</c:f>
              <c:strCache>
                <c:ptCount val="1"/>
                <c:pt idx="0">
                  <c:v>2021</c:v>
                </c:pt>
              </c:strCache>
            </c:strRef>
          </c:tx>
          <c:spPr>
            <a:solidFill>
              <a:schemeClr val="accent6"/>
            </a:solidFill>
            <a:ln>
              <a:noFill/>
            </a:ln>
            <a:effectLst/>
          </c:spPr>
          <c:invertIfNegative val="0"/>
          <c:dLbls>
            <c:delete val="1"/>
          </c:dLbls>
          <c:cat>
            <c:strRef>
              <c:f>[工作簿2]Sheet1!$I$10:$J$10</c:f>
              <c:strCache>
                <c:ptCount val="2"/>
                <c:pt idx="0">
                  <c:v>财政拨款收入</c:v>
                </c:pt>
                <c:pt idx="1">
                  <c:v>财政拨款支出</c:v>
                </c:pt>
              </c:strCache>
            </c:strRef>
          </c:cat>
          <c:val>
            <c:numRef>
              <c:f>[工作簿2]Sheet1!$I$11:$J$11</c:f>
              <c:numCache>
                <c:formatCode>General</c:formatCode>
                <c:ptCount val="2"/>
                <c:pt idx="0">
                  <c:v>12166.63</c:v>
                </c:pt>
                <c:pt idx="1">
                  <c:v>9895.62</c:v>
                </c:pt>
              </c:numCache>
            </c:numRef>
          </c:val>
        </c:ser>
        <c:ser>
          <c:idx val="1"/>
          <c:order val="1"/>
          <c:tx>
            <c:strRef>
              <c:f>[工作簿2]Sheet1!$H$12</c:f>
              <c:strCache>
                <c:ptCount val="1"/>
                <c:pt idx="0">
                  <c:v>2022</c:v>
                </c:pt>
              </c:strCache>
            </c:strRef>
          </c:tx>
          <c:spPr>
            <a:solidFill>
              <a:schemeClr val="accent5"/>
            </a:solidFill>
            <a:ln>
              <a:noFill/>
            </a:ln>
            <a:effectLst/>
          </c:spPr>
          <c:invertIfNegative val="0"/>
          <c:dLbls>
            <c:delete val="1"/>
          </c:dLbls>
          <c:cat>
            <c:strRef>
              <c:f>[工作簿2]Sheet1!$I$10:$J$10</c:f>
              <c:strCache>
                <c:ptCount val="2"/>
                <c:pt idx="0">
                  <c:v>财政拨款收入</c:v>
                </c:pt>
                <c:pt idx="1">
                  <c:v>财政拨款支出</c:v>
                </c:pt>
              </c:strCache>
            </c:strRef>
          </c:cat>
          <c:val>
            <c:numRef>
              <c:f>[工作簿2]Sheet1!$I$12:$J$12</c:f>
              <c:numCache>
                <c:formatCode>General</c:formatCode>
                <c:ptCount val="2"/>
                <c:pt idx="0">
                  <c:v>9394.93</c:v>
                </c:pt>
                <c:pt idx="1">
                  <c:v>13909.07</c:v>
                </c:pt>
              </c:numCache>
            </c:numRef>
          </c:val>
        </c:ser>
        <c:dLbls>
          <c:showLegendKey val="0"/>
          <c:showVal val="0"/>
          <c:showCatName val="0"/>
          <c:showSerName val="0"/>
          <c:showPercent val="0"/>
          <c:showBubbleSize val="0"/>
        </c:dLbls>
        <c:gapWidth val="219"/>
        <c:overlap val="-27"/>
        <c:axId val="814607969"/>
        <c:axId val="272594178"/>
      </c:barChart>
      <c:catAx>
        <c:axId val="8146079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594178"/>
        <c:crosses val="autoZero"/>
        <c:auto val="1"/>
        <c:lblAlgn val="ctr"/>
        <c:lblOffset val="100"/>
        <c:noMultiLvlLbl val="0"/>
      </c:catAx>
      <c:valAx>
        <c:axId val="272594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6079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'[巴中市水利局(本级)(0154104320).XLS]Sheet1'!$H$11</c:f>
              <c:strCache>
                <c:ptCount val="1"/>
                <c:pt idx="0">
                  <c:v>一般公共预算财政拨款支出</c:v>
                </c:pt>
              </c:strCache>
            </c:strRef>
          </c:tx>
          <c:spPr>
            <a:solidFill>
              <a:schemeClr val="accent6"/>
            </a:solidFill>
            <a:ln>
              <a:noFill/>
            </a:ln>
            <a:effectLst/>
          </c:spPr>
          <c:invertIfNegative val="0"/>
          <c:dLbls>
            <c:delete val="1"/>
          </c:dLbls>
          <c:cat>
            <c:numRef>
              <c:f>'[巴中市水利局(本级)(0154104320).XLS]Sheet1'!$G$12:$G$13</c:f>
              <c:numCache>
                <c:formatCode>General</c:formatCode>
                <c:ptCount val="2"/>
                <c:pt idx="0">
                  <c:v>2021</c:v>
                </c:pt>
                <c:pt idx="1">
                  <c:v>2022</c:v>
                </c:pt>
              </c:numCache>
            </c:numRef>
          </c:cat>
          <c:val>
            <c:numRef>
              <c:f>'[巴中市水利局(本级)(0154104320).XLS]Sheet1'!$H$12:$H$13</c:f>
              <c:numCache>
                <c:formatCode>General</c:formatCode>
                <c:ptCount val="2"/>
                <c:pt idx="0">
                  <c:v>1295.62</c:v>
                </c:pt>
                <c:pt idx="1">
                  <c:v>3713.12</c:v>
                </c:pt>
              </c:numCache>
            </c:numRef>
          </c:val>
        </c:ser>
        <c:dLbls>
          <c:showLegendKey val="0"/>
          <c:showVal val="0"/>
          <c:showCatName val="0"/>
          <c:showSerName val="0"/>
          <c:showPercent val="0"/>
          <c:showBubbleSize val="0"/>
        </c:dLbls>
        <c:gapWidth val="219"/>
        <c:overlap val="-27"/>
        <c:axId val="469033219"/>
        <c:axId val="445875454"/>
      </c:barChart>
      <c:catAx>
        <c:axId val="4690332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5875454"/>
        <c:crosses val="autoZero"/>
        <c:auto val="1"/>
        <c:lblAlgn val="ctr"/>
        <c:lblOffset val="100"/>
        <c:noMultiLvlLbl val="0"/>
      </c:catAx>
      <c:valAx>
        <c:axId val="44587545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0332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6"/>
              </a:solidFill>
              <a:ln>
                <a:noFill/>
              </a:ln>
              <a:effectLst>
                <a:outerShdw blurRad="254000" sx="102000" sy="102000" algn="ctr" rotWithShape="0">
                  <a:prstClr val="black">
                    <a:alpha val="20000"/>
                  </a:prstClr>
                </a:outerShdw>
              </a:effectLst>
            </c:spPr>
          </c:dPt>
          <c:dPt>
            <c:idx val="1"/>
            <c:bubble3D val="0"/>
            <c:spPr>
              <a:solidFill>
                <a:schemeClr val="accent5"/>
              </a:solidFill>
              <a:ln>
                <a:noFill/>
              </a:ln>
              <a:effectLst>
                <a:outerShdw blurRad="254000" sx="102000" sy="102000" algn="ctr" rotWithShape="0">
                  <a:prstClr val="black">
                    <a:alpha val="20000"/>
                  </a:prstClr>
                </a:outerShdw>
              </a:effectLst>
            </c:spPr>
          </c:dPt>
          <c:dPt>
            <c:idx val="2"/>
            <c:bubble3D val="0"/>
            <c:spPr>
              <a:solidFill>
                <a:schemeClr val="accent4"/>
              </a:solidFill>
              <a:ln>
                <a:noFill/>
              </a:ln>
              <a:effectLst>
                <a:outerShdw blurRad="254000" sx="102000" sy="102000" algn="ctr" rotWithShape="0">
                  <a:prstClr val="black">
                    <a:alpha val="20000"/>
                  </a:prstClr>
                </a:outerShdw>
              </a:effectLst>
            </c:spPr>
          </c:dPt>
          <c:dPt>
            <c:idx val="3"/>
            <c:bubble3D val="0"/>
            <c:spPr>
              <a:solidFill>
                <a:schemeClr val="accent6">
                  <a:lumMod val="60000"/>
                </a:schemeClr>
              </a:solidFill>
              <a:ln>
                <a:noFill/>
              </a:ln>
              <a:effectLst>
                <a:outerShdw blurRad="254000" sx="102000" sy="102000" algn="ctr" rotWithShape="0">
                  <a:prstClr val="black">
                    <a:alpha val="20000"/>
                  </a:prstClr>
                </a:outerShdw>
              </a:effectLst>
            </c:spPr>
          </c:dPt>
          <c:dPt>
            <c:idx val="4"/>
            <c:bubble3D val="0"/>
            <c:spPr>
              <a:solidFill>
                <a:schemeClr val="accent5">
                  <a:lumMod val="60000"/>
                </a:schemeClr>
              </a:solidFill>
              <a:ln>
                <a:noFill/>
              </a:ln>
              <a:effectLst>
                <a:outerShdw blurRad="254000" sx="102000" sy="102000" algn="ctr" rotWithShape="0">
                  <a:prstClr val="black">
                    <a:alpha val="20000"/>
                  </a:prstClr>
                </a:outerShdw>
              </a:effectLst>
            </c:spPr>
          </c:dPt>
          <c:dLbls>
            <c:delete val="1"/>
          </c:dLbls>
          <c:cat>
            <c:strRef>
              <c:f>Sheet1!$H$11:$L$11</c:f>
              <c:strCache>
                <c:ptCount val="5"/>
                <c:pt idx="0">
                  <c:v>社会保障和就业支出</c:v>
                </c:pt>
                <c:pt idx="1">
                  <c:v>卫生健康支出</c:v>
                </c:pt>
                <c:pt idx="2" c:formatCode="0.00%">
                  <c:v>农林水支出</c:v>
                </c:pt>
                <c:pt idx="3" c:formatCode="0.00%">
                  <c:v>住房保障支出</c:v>
                </c:pt>
                <c:pt idx="4">
                  <c:v>灾害防治及应急管理支出</c:v>
                </c:pt>
              </c:strCache>
            </c:strRef>
          </c:cat>
          <c:val>
            <c:numRef>
              <c:f>Sheet1!$H$12:$L$12</c:f>
              <c:numCache>
                <c:formatCode>0.00%</c:formatCode>
                <c:ptCount val="5"/>
                <c:pt idx="0">
                  <c:v>0.0184</c:v>
                </c:pt>
                <c:pt idx="1" c:formatCode="General">
                  <c:v>1.24</c:v>
                </c:pt>
                <c:pt idx="2">
                  <c:v>0.9473</c:v>
                </c:pt>
                <c:pt idx="3">
                  <c:v>0.0206</c:v>
                </c:pt>
                <c:pt idx="4">
                  <c:v>0.0013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delete val="1"/>
          </c:dLbls>
          <c:cat>
            <c:strRef>
              <c:f>'[巴中市水利局(本级)(0154104320).XLS]Sheet1'!$H$11:$J$11</c:f>
              <c:strCache>
                <c:ptCount val="3"/>
                <c:pt idx="0">
                  <c:v>公务用车购置及运行维护费</c:v>
                </c:pt>
                <c:pt idx="1">
                  <c:v>公务接待费</c:v>
                </c:pt>
                <c:pt idx="2" c:formatCode="0.00%">
                  <c:v>因公出国（境）费</c:v>
                </c:pt>
              </c:strCache>
            </c:strRef>
          </c:cat>
          <c:val>
            <c:numRef>
              <c:f>'[巴中市水利局(本级)(0154104320).XLS]Sheet1'!$H$12:$J$12</c:f>
              <c:numCache>
                <c:formatCode>0.00%</c:formatCode>
                <c:ptCount val="3"/>
                <c:pt idx="0">
                  <c:v>0.8298</c:v>
                </c:pt>
                <c:pt idx="1">
                  <c:v>0.1702</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0</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2020-08-09T09:49:00Z</dcterms:created>
  <dc:creator>曹颖</dc:creator>
  <cp:lastModifiedBy>Hey</cp:lastModifiedBy>
  <cp:lastPrinted>2023-08-04T10:35:00Z</cp:lastPrinted>
  <dcterms:modified xsi:type="dcterms:W3CDTF">2023-10-20T14:14:21Z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90B5368A7CDA48C892FC4C0AFFF4CE26_12</vt:lpwstr>
  </property>
</Properties>
</file>