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2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193"/>
      <w:bookmarkStart w:id="1" w:name="_Toc15378441"/>
      <w:bookmarkStart w:id="2" w:name="_Toc15377425"/>
      <w:bookmarkStart w:id="3" w:name="_Toc15396597"/>
      <w:bookmarkStart w:id="4" w:name="_Toc15396475"/>
      <w:bookmarkStart w:id="5" w:name="_Toc15306267"/>
    </w:p>
    <w:p>
      <w:pPr>
        <w:pageBreakBefore w:val="0"/>
        <w:kinsoku/>
        <w:wordWrap/>
        <w:overflowPunct/>
        <w:topLinePunct w:val="0"/>
        <w:bidi w:val="0"/>
        <w:spacing w:line="520" w:lineRule="exact"/>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52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96476"/>
      <w:bookmarkStart w:id="8" w:name="_Toc15396598"/>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rPr>
        <w:t>巴中市水利局</w:t>
      </w: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adjustRightInd w:val="0"/>
        <w:snapToGrid w:val="0"/>
        <w:spacing w:line="360" w:lineRule="auto"/>
        <w:jc w:val="center"/>
        <w:outlineLvl w:val="9"/>
        <w:rPr>
          <w:rFonts w:ascii="黑体" w:hAnsi="黑体" w:eastAsia="黑体"/>
          <w:color w:val="auto"/>
          <w:sz w:val="48"/>
          <w:szCs w:val="48"/>
          <w:highlight w:val="none"/>
        </w:rPr>
      </w:pPr>
      <w:r>
        <w:rPr>
          <w:rFonts w:hint="eastAsia" w:ascii="方正小标宋简体" w:hAnsi="方正小标宋简体" w:eastAsia="方正小标宋简体" w:cs="方正小标宋简体"/>
          <w:color w:val="auto"/>
          <w:sz w:val="72"/>
          <w:szCs w:val="72"/>
          <w:highlight w:val="none"/>
        </w:rPr>
        <w:br w:type="page"/>
      </w:r>
      <w:r>
        <w:rPr>
          <w:rFonts w:hint="eastAsia" w:ascii="黑体" w:hAnsi="黑体" w:eastAsia="黑体"/>
          <w:color w:val="auto"/>
          <w:sz w:val="48"/>
          <w:szCs w:val="48"/>
          <w:highlight w:val="none"/>
        </w:rPr>
        <w:t>目录</w:t>
      </w:r>
    </w:p>
    <w:p>
      <w:pPr>
        <w:pageBreakBefore w:val="0"/>
        <w:widowControl/>
        <w:kinsoku/>
        <w:wordWrap/>
        <w:overflowPunct/>
        <w:topLinePunct w:val="0"/>
        <w:bidi w:val="0"/>
        <w:spacing w:line="520" w:lineRule="exact"/>
        <w:jc w:val="center"/>
        <w:rPr>
          <w:rFonts w:ascii="黑体" w:hAnsi="黑体" w:eastAsia="黑体" w:cstheme="minorBidi"/>
          <w:color w:val="auto"/>
          <w:sz w:val="28"/>
          <w:szCs w:val="28"/>
          <w:highlight w:val="none"/>
        </w:rPr>
      </w:pPr>
    </w:p>
    <w:p>
      <w:pPr>
        <w:pStyle w:val="14"/>
        <w:pageBreakBefore w:val="0"/>
        <w:kinsoku/>
        <w:wordWrap/>
        <w:overflowPunct/>
        <w:topLinePunct w:val="0"/>
        <w:bidi w:val="0"/>
        <w:spacing w:line="520" w:lineRule="exact"/>
        <w:rPr>
          <w:rFonts w:hint="eastAsia"/>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color w:val="auto"/>
          <w:sz w:val="24"/>
          <w:szCs w:val="24"/>
          <w:highlight w:val="none"/>
        </w:rPr>
        <w:instrText xml:space="preserve">TOC \o "1-3" \h \u </w:instrText>
      </w:r>
      <w:r>
        <w:rPr>
          <w:rFonts w:hint="eastAsia" w:ascii="方正仿宋_GBK" w:hAnsi="方正仿宋_GBK" w:eastAsia="方正仿宋_GBK" w:cs="方正仿宋_GBK"/>
          <w:color w:val="auto"/>
          <w:sz w:val="24"/>
          <w:szCs w:val="24"/>
          <w:highlight w:val="none"/>
        </w:rPr>
        <w:fldChar w:fldCharType="separate"/>
      </w: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_Toc1259359520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 xml:space="preserve">第一部分 </w:t>
      </w:r>
      <w:r>
        <w:rPr>
          <w:rFonts w:hint="eastAsia" w:ascii="方正仿宋_GBK" w:hAnsi="方正仿宋_GBK" w:eastAsia="方正仿宋_GBK" w:cs="方正仿宋_GBK"/>
          <w:bCs w:val="0"/>
          <w:sz w:val="24"/>
          <w:szCs w:val="24"/>
          <w:highlight w:val="none"/>
        </w:rPr>
        <w:t>部门概况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_Toc1259359520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_Toc1829897865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一、基</w:t>
      </w:r>
      <w:r>
        <w:rPr>
          <w:rFonts w:hint="eastAsia" w:ascii="方正仿宋_GBK" w:hAnsi="方正仿宋_GBK" w:eastAsia="方正仿宋_GBK" w:cs="方正仿宋_GBK"/>
          <w:bCs w:val="0"/>
          <w:sz w:val="24"/>
          <w:szCs w:val="24"/>
          <w:highlight w:val="none"/>
        </w:rPr>
        <w:t>本职能及主要工作</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_Toc1829897865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_Toc280701425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二、机</w:t>
      </w:r>
      <w:r>
        <w:rPr>
          <w:rFonts w:hint="eastAsia" w:ascii="方正仿宋_GBK" w:hAnsi="方正仿宋_GBK" w:eastAsia="方正仿宋_GBK" w:cs="方正仿宋_GBK"/>
          <w:bCs w:val="0"/>
          <w:sz w:val="24"/>
          <w:szCs w:val="24"/>
          <w:highlight w:val="none"/>
        </w:rPr>
        <w:t>构设置</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_Toc280701425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_Toc555477458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sz w:val="24"/>
          <w:szCs w:val="24"/>
          <w:highlight w:val="none"/>
        </w:rPr>
        <w:t xml:space="preserve">第二部分 </w:t>
      </w:r>
      <w:r>
        <w:rPr>
          <w:rFonts w:hint="eastAsia" w:ascii="方正仿宋_GBK" w:hAnsi="方正仿宋_GBK" w:eastAsia="方正仿宋_GBK" w:cs="方正仿宋_GBK"/>
          <w:bCs/>
          <w:sz w:val="24"/>
          <w:szCs w:val="24"/>
          <w:highlight w:val="none"/>
          <w:lang w:val="en-US" w:eastAsia="zh-CN"/>
        </w:rPr>
        <w:t>2021年度</w:t>
      </w:r>
      <w:r>
        <w:rPr>
          <w:rFonts w:hint="eastAsia" w:ascii="方正仿宋_GBK" w:hAnsi="方正仿宋_GBK" w:eastAsia="方正仿宋_GBK" w:cs="方正仿宋_GBK"/>
          <w:bCs/>
          <w:sz w:val="24"/>
          <w:szCs w:val="24"/>
          <w:highlight w:val="none"/>
        </w:rPr>
        <w:t>部门决算情况说明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_Toc555477458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_Toc1229796623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一、 </w:t>
      </w:r>
      <w:r>
        <w:rPr>
          <w:rFonts w:hint="eastAsia" w:ascii="方正仿宋_GBK" w:hAnsi="方正仿宋_GBK" w:eastAsia="方正仿宋_GBK" w:cs="方正仿宋_GBK"/>
          <w:sz w:val="24"/>
          <w:szCs w:val="24"/>
          <w:highlight w:val="none"/>
        </w:rPr>
        <w:t>收入支出决算总体情况说明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_Toc1229796623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_Toc1361475099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二、 </w:t>
      </w:r>
      <w:r>
        <w:rPr>
          <w:rFonts w:hint="eastAsia" w:ascii="方正仿宋_GBK" w:hAnsi="方正仿宋_GBK" w:eastAsia="方正仿宋_GBK" w:cs="方正仿宋_GBK"/>
          <w:sz w:val="24"/>
          <w:szCs w:val="24"/>
          <w:highlight w:val="none"/>
        </w:rPr>
        <w:t>收入决算情况说明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_Toc1361475099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_Toc1061580640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三、 </w:t>
      </w:r>
      <w:r>
        <w:rPr>
          <w:rFonts w:hint="eastAsia" w:ascii="方正仿宋_GBK" w:hAnsi="方正仿宋_GBK" w:eastAsia="方正仿宋_GBK" w:cs="方正仿宋_GBK"/>
          <w:sz w:val="24"/>
          <w:szCs w:val="24"/>
          <w:highlight w:val="none"/>
        </w:rPr>
        <w:t>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_Toc1061580640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_Toc751388662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四、财政拨款收入支出决算总体情况说明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_Toc751388662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_Toc1042593102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五、一般公共预算财政拨款支出决算情况说明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_Toc1042593102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_Toc1315988198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（一）一般公共预算财政拨款支出决算总体情况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_Toc1315988198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_Toc1863928198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（二）一般公共预算财政拨款支出决算结构情况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_Toc1863928198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_Toc853078852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（三）一般公共预算财政拨款支出决算具体情况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_Toc853078852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_Toc21117255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六、一般公共预算财政拨款基本支出决算情况说明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_Toc21117255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10</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_Toc231733793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七、“三公”经费财政拨款支出决算情况说明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_Toc231733793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_Toc1092232006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（一）“三公”经费财政拨款支出决算总体情况说明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_Toc1092232006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_Toc801795603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（二）“三公”经费财政拨款支出决算具体情况说明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_Toc801795603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_Toc894209670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八、政府性基金预算支出决算情况说明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_Toc894209670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_Toc134754770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九、 </w:t>
      </w:r>
      <w:r>
        <w:rPr>
          <w:rFonts w:hint="eastAsia" w:ascii="方正仿宋_GBK" w:hAnsi="方正仿宋_GBK" w:eastAsia="方正仿宋_GBK" w:cs="方正仿宋_GBK"/>
          <w:sz w:val="24"/>
          <w:szCs w:val="24"/>
          <w:highlight w:val="none"/>
        </w:rPr>
        <w:t>国有资本经营预算支出决算情况说明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_Toc134754770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_Toc836098867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十、 </w:t>
      </w:r>
      <w:r>
        <w:rPr>
          <w:rFonts w:hint="eastAsia" w:ascii="方正仿宋_GBK" w:hAnsi="方正仿宋_GBK" w:eastAsia="方正仿宋_GBK" w:cs="方正仿宋_GBK"/>
          <w:sz w:val="24"/>
          <w:szCs w:val="24"/>
          <w:highlight w:val="none"/>
        </w:rPr>
        <w:t>其他重要事项的情况说明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_Toc836098867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_Toc684909674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（一）机关运行经费支出情况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_Toc684909674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_Toc666665099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（二）政府采购支出情况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_Toc666665099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_Toc681066846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（三）国有资产占有使用情况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_Toc681066846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_Toc1052605414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（四）预算绩效管理情况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_Toc1052605414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_Toc454313550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第三部分 </w:t>
      </w:r>
      <w:r>
        <w:rPr>
          <w:rFonts w:hint="eastAsia" w:ascii="方正仿宋_GBK" w:hAnsi="方正仿宋_GBK" w:eastAsia="方正仿宋_GBK" w:cs="方正仿宋_GBK"/>
          <w:sz w:val="24"/>
          <w:szCs w:val="24"/>
          <w:highlight w:val="none"/>
        </w:rPr>
        <w:t>名词解释</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_Toc454313550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_Toc254997632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第四部分 附件</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_Toc254997632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_Toc666555060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第五部分 附表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_Toc666555060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_Toc983444279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一、收</w:t>
      </w:r>
      <w:r>
        <w:rPr>
          <w:rFonts w:hint="eastAsia" w:ascii="方正仿宋_GBK" w:hAnsi="方正仿宋_GBK" w:eastAsia="方正仿宋_GBK" w:cs="方正仿宋_GBK"/>
          <w:bCs w:val="0"/>
          <w:sz w:val="24"/>
          <w:szCs w:val="24"/>
          <w:highlight w:val="none"/>
        </w:rPr>
        <w:t>入支出决算总表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_Toc983444279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_Toc872337912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二、收</w:t>
      </w:r>
      <w:r>
        <w:rPr>
          <w:rFonts w:hint="eastAsia" w:ascii="方正仿宋_GBK" w:hAnsi="方正仿宋_GBK" w:eastAsia="方正仿宋_GBK" w:cs="方正仿宋_GBK"/>
          <w:bCs w:val="0"/>
          <w:sz w:val="24"/>
          <w:szCs w:val="24"/>
          <w:highlight w:val="none"/>
        </w:rPr>
        <w:t>入决算表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_Toc872337912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_Toc445176485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三、</w:t>
      </w:r>
      <w:r>
        <w:rPr>
          <w:rFonts w:hint="eastAsia" w:ascii="方正仿宋_GBK" w:hAnsi="方正仿宋_GBK" w:eastAsia="方正仿宋_GBK" w:cs="方正仿宋_GBK"/>
          <w:sz w:val="24"/>
          <w:szCs w:val="24"/>
          <w:highlight w:val="none"/>
        </w:rPr>
        <w:t>支</w:t>
      </w:r>
      <w:r>
        <w:rPr>
          <w:rFonts w:hint="eastAsia" w:ascii="方正仿宋_GBK" w:hAnsi="方正仿宋_GBK" w:eastAsia="方正仿宋_GBK" w:cs="方正仿宋_GBK"/>
          <w:bCs w:val="0"/>
          <w:sz w:val="24"/>
          <w:szCs w:val="24"/>
          <w:highlight w:val="none"/>
        </w:rPr>
        <w:t>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_Toc445176485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_Toc813066076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四、</w:t>
      </w:r>
      <w:r>
        <w:rPr>
          <w:rFonts w:hint="eastAsia" w:ascii="方正仿宋_GBK" w:hAnsi="方正仿宋_GBK" w:eastAsia="方正仿宋_GBK" w:cs="方正仿宋_GBK"/>
          <w:sz w:val="24"/>
          <w:szCs w:val="24"/>
          <w:highlight w:val="none"/>
        </w:rPr>
        <w:t>财</w:t>
      </w:r>
      <w:r>
        <w:rPr>
          <w:rFonts w:hint="eastAsia" w:ascii="方正仿宋_GBK" w:hAnsi="方正仿宋_GBK" w:eastAsia="方正仿宋_GBK" w:cs="方正仿宋_GBK"/>
          <w:bCs w:val="0"/>
          <w:sz w:val="24"/>
          <w:szCs w:val="24"/>
          <w:highlight w:val="none"/>
        </w:rPr>
        <w:t>政拨款收入支出决算总表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_Toc813066076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_Toc1483334701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五、</w:t>
      </w:r>
      <w:r>
        <w:rPr>
          <w:rFonts w:hint="eastAsia" w:ascii="方正仿宋_GBK" w:hAnsi="方正仿宋_GBK" w:eastAsia="方正仿宋_GBK" w:cs="方正仿宋_GBK"/>
          <w:sz w:val="24"/>
          <w:szCs w:val="24"/>
          <w:highlight w:val="none"/>
        </w:rPr>
        <w:t>财</w:t>
      </w:r>
      <w:r>
        <w:rPr>
          <w:rFonts w:hint="eastAsia" w:ascii="方正仿宋_GBK" w:hAnsi="方正仿宋_GBK" w:eastAsia="方正仿宋_GBK" w:cs="方正仿宋_GBK"/>
          <w:bCs w:val="0"/>
          <w:sz w:val="24"/>
          <w:szCs w:val="24"/>
          <w:highlight w:val="none"/>
        </w:rPr>
        <w:t>政拨款支出决算明细表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_Toc1483334701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_Toc1704536006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六、</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_Toc1704536006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_Toc495480293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七、</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般公共预算财政拨款支出决算明细表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_Toc495480293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_Toc1764036126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八、</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般公共预算财政拨款基本支出决算表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_Toc1764036126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_Toc112529816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九、</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般公共预算财政拨款项目支出决算表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_Toc112529816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_Toc1725276916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般公共预算财政拨款“三公”经费支出决算表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_Toc1725276916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_Toc978027577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十一、</w:t>
      </w:r>
      <w:r>
        <w:rPr>
          <w:rFonts w:hint="eastAsia" w:ascii="方正仿宋_GBK" w:hAnsi="方正仿宋_GBK" w:eastAsia="方正仿宋_GBK" w:cs="方正仿宋_GBK"/>
          <w:sz w:val="24"/>
          <w:szCs w:val="24"/>
          <w:highlight w:val="none"/>
        </w:rPr>
        <w:t>政</w:t>
      </w:r>
      <w:r>
        <w:rPr>
          <w:rFonts w:hint="eastAsia" w:ascii="方正仿宋_GBK" w:hAnsi="方正仿宋_GBK" w:eastAsia="方正仿宋_GBK" w:cs="方正仿宋_GBK"/>
          <w:bCs w:val="0"/>
          <w:sz w:val="24"/>
          <w:szCs w:val="24"/>
          <w:highlight w:val="none"/>
        </w:rPr>
        <w:t>府性基金预算财政拨款收入支出决算表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_Toc978027577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_Toc1174110456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十二、</w:t>
      </w:r>
      <w:r>
        <w:rPr>
          <w:rFonts w:hint="eastAsia" w:ascii="方正仿宋_GBK" w:hAnsi="方正仿宋_GBK" w:eastAsia="方正仿宋_GBK" w:cs="方正仿宋_GBK"/>
          <w:sz w:val="24"/>
          <w:szCs w:val="24"/>
          <w:highlight w:val="none"/>
        </w:rPr>
        <w:t>政</w:t>
      </w:r>
      <w:r>
        <w:rPr>
          <w:rFonts w:hint="eastAsia" w:ascii="方正仿宋_GBK" w:hAnsi="方正仿宋_GBK" w:eastAsia="方正仿宋_GBK" w:cs="方正仿宋_GBK"/>
          <w:bCs w:val="0"/>
          <w:sz w:val="24"/>
          <w:szCs w:val="24"/>
          <w:highlight w:val="none"/>
        </w:rPr>
        <w:t>府性基金预算财政拨款“三公”经费支出决算表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_Toc1174110456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_Toc329181930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十三、</w:t>
      </w:r>
      <w:r>
        <w:rPr>
          <w:rFonts w:hint="eastAsia" w:ascii="方正仿宋_GBK" w:hAnsi="方正仿宋_GBK" w:eastAsia="方正仿宋_GBK" w:cs="方正仿宋_GBK"/>
          <w:sz w:val="24"/>
          <w:szCs w:val="24"/>
          <w:highlight w:val="none"/>
        </w:rPr>
        <w:t>国</w:t>
      </w:r>
      <w:r>
        <w:rPr>
          <w:rFonts w:hint="eastAsia" w:ascii="方正仿宋_GBK" w:hAnsi="方正仿宋_GBK" w:eastAsia="方正仿宋_GBK" w:cs="方正仿宋_GBK"/>
          <w:bCs w:val="0"/>
          <w:sz w:val="24"/>
          <w:szCs w:val="24"/>
          <w:highlight w:val="none"/>
        </w:rPr>
        <w:t>有资本经营预算</w:t>
      </w:r>
      <w:r>
        <w:rPr>
          <w:rFonts w:hint="eastAsia" w:ascii="方正仿宋_GBK" w:hAnsi="方正仿宋_GBK" w:eastAsia="方正仿宋_GBK" w:cs="方正仿宋_GBK"/>
          <w:bCs w:val="0"/>
          <w:sz w:val="24"/>
          <w:szCs w:val="24"/>
          <w:highlight w:val="none"/>
          <w:lang w:eastAsia="zh-CN"/>
        </w:rPr>
        <w:t>财政拨款收入</w:t>
      </w:r>
      <w:r>
        <w:rPr>
          <w:rFonts w:hint="eastAsia" w:ascii="方正仿宋_GBK" w:hAnsi="方正仿宋_GBK" w:eastAsia="方正仿宋_GBK" w:cs="方正仿宋_GBK"/>
          <w:bCs w:val="0"/>
          <w:sz w:val="24"/>
          <w:szCs w:val="24"/>
          <w:highlight w:val="none"/>
        </w:rPr>
        <w:t>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_Toc329181930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_Toc2020620680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lang w:eastAsia="zh-CN"/>
        </w:rPr>
        <w:t>十四、国有资本经营预算财政拨款支出决算表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_Toc2020620680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auto"/>
          <w:highlight w:val="none"/>
        </w:rPr>
      </w:pPr>
      <w:r>
        <w:rPr>
          <w:rFonts w:hint="eastAsia" w:ascii="方正仿宋_GBK" w:hAnsi="方正仿宋_GBK" w:eastAsia="方正仿宋_GBK" w:cs="方正仿宋_GBK"/>
          <w:color w:val="auto"/>
          <w:sz w:val="24"/>
          <w:szCs w:val="24"/>
          <w:highlight w:val="none"/>
        </w:rPr>
        <w:fldChar w:fldCharType="end"/>
      </w:r>
    </w:p>
    <w:p>
      <w:pPr>
        <w:pStyle w:val="5"/>
        <w:pageBreakBefore w:val="0"/>
        <w:kinsoku/>
        <w:wordWrap/>
        <w:overflowPunct/>
        <w:topLinePunct w:val="0"/>
        <w:bidi w:val="0"/>
        <w:spacing w:line="520" w:lineRule="exact"/>
        <w:jc w:val="center"/>
        <w:rPr>
          <w:rFonts w:hint="eastAsia" w:ascii="黑体" w:hAnsi="黑体" w:eastAsia="黑体"/>
          <w:b w:val="0"/>
          <w:color w:val="auto"/>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5377196"/>
      <w:bookmarkStart w:id="13" w:name="_Toc15396599"/>
      <w:bookmarkStart w:id="14" w:name="_Toc1259359520"/>
    </w:p>
    <w:p>
      <w:pPr>
        <w:pStyle w:val="5"/>
        <w:pageBreakBefore w:val="0"/>
        <w:kinsoku/>
        <w:wordWrap/>
        <w:overflowPunct/>
        <w:topLinePunct w:val="0"/>
        <w:bidi w:val="0"/>
        <w:spacing w:line="520" w:lineRule="exact"/>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bookmarkEnd w:id="14"/>
    </w:p>
    <w:p>
      <w:pPr>
        <w:pStyle w:val="6"/>
        <w:pageBreakBefore w:val="0"/>
        <w:kinsoku/>
        <w:wordWrap/>
        <w:overflowPunct/>
        <w:topLinePunct w:val="0"/>
        <w:bidi w:val="0"/>
        <w:spacing w:line="520" w:lineRule="exact"/>
        <w:ind w:firstLine="640" w:firstLineChars="200"/>
        <w:rPr>
          <w:rStyle w:val="30"/>
          <w:rFonts w:ascii="仿宋" w:hAnsi="仿宋" w:eastAsia="仿宋"/>
          <w:b w:val="0"/>
          <w:bCs w:val="0"/>
          <w:color w:val="auto"/>
          <w:highlight w:val="none"/>
        </w:rPr>
      </w:pPr>
      <w:bookmarkStart w:id="15" w:name="_Toc1829897865"/>
      <w:bookmarkStart w:id="16" w:name="_Toc15396600"/>
      <w:bookmarkStart w:id="17" w:name="_Toc15377197"/>
      <w:r>
        <w:rPr>
          <w:rFonts w:hint="eastAsia" w:ascii="黑体" w:hAnsi="黑体" w:eastAsia="黑体"/>
          <w:b w:val="0"/>
          <w:color w:val="auto"/>
          <w:highlight w:val="none"/>
          <w:lang w:eastAsia="zh-CN"/>
        </w:rPr>
        <w:t>一、</w:t>
      </w:r>
      <w:r>
        <w:rPr>
          <w:rFonts w:hint="eastAsia" w:ascii="黑体" w:hAnsi="黑体" w:eastAsia="黑体"/>
          <w:b w:val="0"/>
          <w:color w:val="auto"/>
          <w:highlight w:val="none"/>
        </w:rPr>
        <w:t>基</w:t>
      </w:r>
      <w:r>
        <w:rPr>
          <w:rStyle w:val="30"/>
          <w:rFonts w:hint="eastAsia" w:ascii="黑体" w:hAnsi="黑体" w:eastAsia="黑体"/>
          <w:b w:val="0"/>
          <w:bCs w:val="0"/>
          <w:color w:val="auto"/>
          <w:highlight w:val="none"/>
        </w:rPr>
        <w:t>本职能及主要工作</w:t>
      </w:r>
      <w:bookmarkEnd w:id="15"/>
      <w:bookmarkEnd w:id="16"/>
      <w:bookmarkEnd w:id="17"/>
    </w:p>
    <w:p>
      <w:pPr>
        <w:pStyle w:val="9"/>
        <w:pageBreakBefore w:val="0"/>
        <w:kinsoku/>
        <w:wordWrap/>
        <w:overflowPunct/>
        <w:topLinePunct w:val="0"/>
        <w:bidi w:val="0"/>
        <w:adjustRightInd w:val="0"/>
        <w:snapToGrid w:val="0"/>
        <w:spacing w:before="93" w:line="520" w:lineRule="exact"/>
        <w:ind w:firstLine="672" w:firstLineChars="210"/>
        <w:outlineLvl w:val="9"/>
        <w:rPr>
          <w:rFonts w:hint="eastAsia" w:ascii="仿宋" w:hAnsi="仿宋" w:eastAsia="仿宋"/>
          <w:bCs/>
          <w:color w:val="auto"/>
          <w:sz w:val="32"/>
          <w:szCs w:val="32"/>
          <w:highlight w:val="none"/>
        </w:rPr>
      </w:pPr>
      <w:bookmarkStart w:id="18" w:name="_Toc15378445"/>
      <w:bookmarkStart w:id="19" w:name="_Toc15377198"/>
      <w:r>
        <w:rPr>
          <w:rFonts w:hint="eastAsia" w:ascii="仿宋" w:hAnsi="仿宋" w:eastAsia="仿宋"/>
          <w:bCs/>
          <w:color w:val="auto"/>
          <w:sz w:val="32"/>
          <w:szCs w:val="32"/>
          <w:highlight w:val="none"/>
        </w:rPr>
        <w:t>（一）主要职能</w:t>
      </w:r>
      <w:bookmarkEnd w:id="18"/>
      <w:bookmarkEnd w:id="19"/>
    </w:p>
    <w:p>
      <w:pPr>
        <w:pageBreakBefore w:val="0"/>
        <w:kinsoku/>
        <w:wordWrap/>
        <w:overflowPunct/>
        <w:topLinePunct w:val="0"/>
        <w:bidi w:val="0"/>
        <w:spacing w:line="520" w:lineRule="exact"/>
        <w:ind w:firstLine="600"/>
        <w:jc w:val="left"/>
        <w:rPr>
          <w:rFonts w:hint="eastAsia" w:ascii="仿宋" w:hAnsi="仿宋" w:eastAsia="仿宋" w:cs="Times New Roman"/>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贯彻落实国家、省、市水利工作的方针、政策和法律、法规，起草有关地方性法规和规章，拟订全市水利行政管理的实施细则和管理办法；拟订全市水利战略发展规划，组织编制全市水资源综合规划、水资源保护规划，并负责指导实施和监督；负责全市水资源的合理开发利用；指导水资源保护工作；负责节约用水工作；负责落实综合防汛减灾规划相关要求，组织编制洪水干旱灾害防治规划并指导实施；指导农村水利工作；负责水土保持工作；负责重大涉水违法事件的查处，组织指导水政监察和水行政执法，协调和仲裁跨区域水事纠纷；负责指导编制大中型水利水电工程移民安置规划大纲</w:t>
      </w:r>
      <w:r>
        <w:rPr>
          <w:rFonts w:hint="eastAsia" w:ascii="仿宋" w:hAnsi="仿宋" w:eastAsia="仿宋"/>
          <w:bCs/>
          <w:color w:val="000000" w:themeColor="text1"/>
          <w:sz w:val="32"/>
          <w:szCs w:val="32"/>
          <w:lang w:eastAsia="zh-CN"/>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组织大</w:t>
      </w:r>
      <w:r>
        <w:rPr>
          <w:rFonts w:hint="eastAsia" w:ascii="仿宋" w:hAnsi="仿宋" w:eastAsia="仿宋" w:cs="Times New Roman"/>
          <w:bCs/>
          <w:color w:val="000000" w:themeColor="text1"/>
          <w:kern w:val="0"/>
          <w:sz w:val="32"/>
          <w:szCs w:val="32"/>
          <w:lang w:val="en-US" w:eastAsia="zh-CN" w:bidi="ar-SA"/>
          <w14:textFill>
            <w14:solidFill>
              <w14:schemeClr w14:val="tx1"/>
            </w14:solidFill>
          </w14:textFill>
        </w:rPr>
        <w:t>中型水利水电工程移民安置工作；开展水利科技工作；完成市委和市政府交办的其他任务。</w:t>
      </w:r>
    </w:p>
    <w:p>
      <w:pPr>
        <w:pStyle w:val="9"/>
        <w:pageBreakBefore w:val="0"/>
        <w:kinsoku/>
        <w:wordWrap/>
        <w:overflowPunct/>
        <w:topLinePunct w:val="0"/>
        <w:bidi w:val="0"/>
        <w:adjustRightInd w:val="0"/>
        <w:snapToGrid w:val="0"/>
        <w:spacing w:before="93" w:line="520" w:lineRule="exact"/>
        <w:ind w:firstLine="672" w:firstLineChars="210"/>
        <w:outlineLvl w:val="9"/>
        <w:rPr>
          <w:rFonts w:hint="eastAsia" w:ascii="仿宋" w:hAnsi="仿宋" w:eastAsia="仿宋"/>
          <w:bCs/>
          <w:color w:val="auto"/>
          <w:sz w:val="32"/>
          <w:szCs w:val="32"/>
          <w:highlight w:val="none"/>
        </w:rPr>
      </w:pPr>
      <w:bookmarkStart w:id="20" w:name="_Toc15377199"/>
      <w:bookmarkStart w:id="21"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20"/>
      <w:bookmarkEnd w:id="21"/>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2021年，全市水利工作始终坚持人水和谐的发展理念，积极践行“节水优先、空间均衡、系统治理、两手发力”的治水方针和水资源、水生态、水环境、水灾害统筹治理的治水新思路，以水利工程补短板强弱项和水利行业强监管优服务为主线，编制出台了《巴中市“十四五”水安全保障规划》，水利项目建设扎实推进、民生水利加速推动。一是将青峪口水库、高桥水库等一批事关民生和发展的重点水利项目纳入国家、省“十四五”规划盘子。明确以构建“6781”现代水利基础设施生态水网体系，实现“6座大型防洪工程护渠江安澜，7座中型水库及渠系连全域水网，8条流域综合治理筑生态廊道，一体化城乡供水保饮水安全”为水安全目标。二是小型病险水库除险加固有序推动。2021年283个除险加固项目已完成268个，在建项目遗留的340个问题已完成整改280个，占问题总数的82.35%；同时，对全市820座中小型水库开展全覆盖鉴定，对达到病险标准的全部纳入除险加固计划范围。三是农村供水工程运行管护能力巩固提升。扎实开展为期8个月的农村安全饮水专项整治，对148个乡镇（街道办）1937处集中供水工程进行了全面排查，集中解决了1900余个农村饮水安全突出问题（含国务院大督查反馈、水利部等上级部门交办问题）。新建及改扩建集中供水工程60处，巩固提升受益人口32.7万人；争取中、省农村供水工程维修养护资金1330万元，维修养护800处集中供水工程，综合提升127万受益群众的供水保障能力。</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河湖长制成效显著，清河护岸成效明显，水生态环境持续改善。全市主要河流出境断面水质保持在Ⅲ类及以上，2个国考断面水质均达到Ⅱ类标准，城市饮用水水源地水质达标率保持100%，城乡饮用水水源地水质全部达标。对历年来中央省环保督查反馈问题和涉水问题开展“回头看”，同步开展涉水环境问题大排查、小水电清理整改、污水直排集中整治防治、污水处理设施建设攻坚等专项活动，先后投入7000余万元、整改各类涉水问题73个，5处国家挂牌督办的黑臭水体治理全部验收销号。全市主要河流出境断面水质保持在Ⅲ类及以上，2个国考断面水质均达到Ⅱ类标准，城市饮用水水源地水质达标率保持100%，城乡饮用水水源地水质全部达标。</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最严格水资源管理制度落地落实。坚持规划引领，协调生活、生产、生态用水需求，科学合理配置水资源，保障河湖生态基流，构建水资源配置和统一调度体系，水资源要素与经济社会生态要素适配性明显提升，水资源优化配置能力大幅提升。科学下达年度取水计划，严格用水定额管理，建立取用水管理台账，强化水资源监测计量和用水统计，对流域水资源超载地区全面实行取水限批措施，水资源集约节约利用大幅提升。依托全国一体化在线政务服务平台，全面推广应用取水许可电子证照，实现取水许可电子证照跨地区、跨部门共享互认，水资源信息化管理能力大幅提升</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水旱灾害防御有效，以人为</w:t>
      </w:r>
      <w:r>
        <w:rPr>
          <w:rFonts w:hint="eastAsia" w:ascii="仿宋" w:hAnsi="仿宋" w:eastAsia="仿宋"/>
          <w:bCs/>
          <w:color w:val="000000" w:themeColor="text1"/>
          <w:sz w:val="32"/>
          <w:szCs w:val="32"/>
          <w:lang w:val="en-US" w:eastAsia="zh-CN"/>
          <w14:textFill>
            <w14:solidFill>
              <w14:schemeClr w14:val="tx1"/>
            </w14:solidFill>
          </w14:textFill>
        </w:rPr>
        <w:t>本</w:t>
      </w:r>
      <w:r>
        <w:rPr>
          <w:rFonts w:hint="eastAsia" w:ascii="仿宋" w:hAnsi="仿宋" w:eastAsia="仿宋"/>
          <w:bCs/>
          <w:color w:val="000000" w:themeColor="text1"/>
          <w:sz w:val="32"/>
          <w:szCs w:val="32"/>
          <w14:textFill>
            <w14:solidFill>
              <w14:schemeClr w14:val="tx1"/>
            </w14:solidFill>
          </w14:textFill>
        </w:rPr>
        <w:t>，实现人员零伤亡。启动市、县防汛应急响应16次，组织受威胁群众主动避让撤离3.86万人、紧急转移安置21.2万人，成功应对近10年来巴中汛期强度最大、频次最密的强降雨；充分发挥红鱼洞水库等水利工程拦蓄滞峰关键作用科学妥善处置16次（发生26站次超警、11站次超保）洪水灾害，涌现出了巴州区“7.5”洪涝避险转移、通江县毛浴镇“7.10”洪水避险转移等10个成功典型案例，连续7年实现汛期洪涝灾害人员零伤亡。</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柳津湖运行保护中心2021年全年成功应对多次强降雨天气，李家湾闸坝先后11次洪水顺利过境。在汛前基本完成了2020年度的水毁工作，汛前汛后完成了对李家湾闸坝和大佛寺拦河坝的检修工作。保持对巴河沿河两岸的绿化带、14公里堤防、马道和河面等常态化的清扫保洁，确保了市民休闲健身通道畅通，将“为群众办实事”落地落实。</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default" w:ascii="仿宋" w:hAnsi="仿宋" w:eastAsia="仿宋"/>
          <w:bCs/>
          <w:color w:val="000000" w:themeColor="text1"/>
          <w:sz w:val="32"/>
          <w:szCs w:val="32"/>
          <w:lang w:val="en-US" w:eastAsia="zh-CN"/>
          <w14:textFill>
            <w14:solidFill>
              <w14:schemeClr w14:val="tx1"/>
            </w14:solidFill>
          </w14:textFill>
        </w:rPr>
        <w:t>江家口水库</w:t>
      </w:r>
      <w:r>
        <w:rPr>
          <w:rFonts w:hint="eastAsia" w:ascii="仿宋" w:hAnsi="仿宋" w:eastAsia="仿宋"/>
          <w:bCs/>
          <w:color w:val="000000" w:themeColor="text1"/>
          <w:sz w:val="32"/>
          <w:szCs w:val="32"/>
          <w:lang w:val="en-US" w:eastAsia="zh-CN"/>
          <w14:textFill>
            <w14:solidFill>
              <w14:schemeClr w14:val="tx1"/>
            </w14:solidFill>
          </w14:textFill>
        </w:rPr>
        <w:t>自</w:t>
      </w:r>
      <w:r>
        <w:rPr>
          <w:rFonts w:hint="default" w:ascii="仿宋" w:hAnsi="仿宋" w:eastAsia="仿宋"/>
          <w:bCs/>
          <w:color w:val="000000" w:themeColor="text1"/>
          <w:sz w:val="32"/>
          <w:szCs w:val="32"/>
          <w:lang w:val="en-US" w:eastAsia="zh-CN"/>
          <w14:textFill>
            <w14:solidFill>
              <w14:schemeClr w14:val="tx1"/>
            </w14:solidFill>
          </w14:textFill>
        </w:rPr>
        <w:t>初设批复后，严格按照可研和初设批复要求，扎实开展招投标工作。截止2021年7月，</w:t>
      </w:r>
      <w:r>
        <w:rPr>
          <w:rFonts w:hint="eastAsia" w:ascii="仿宋" w:hAnsi="仿宋" w:eastAsia="仿宋"/>
          <w:bCs/>
          <w:color w:val="000000" w:themeColor="text1"/>
          <w:sz w:val="32"/>
          <w:szCs w:val="32"/>
          <w:lang w:val="en-US" w:eastAsia="zh-CN"/>
          <w14:textFill>
            <w14:solidFill>
              <w14:schemeClr w14:val="tx1"/>
            </w14:solidFill>
          </w14:textFill>
        </w:rPr>
        <w:t>全面完成</w:t>
      </w:r>
      <w:r>
        <w:rPr>
          <w:rFonts w:hint="default" w:ascii="仿宋" w:hAnsi="仿宋" w:eastAsia="仿宋"/>
          <w:bCs/>
          <w:color w:val="000000" w:themeColor="text1"/>
          <w:sz w:val="32"/>
          <w:szCs w:val="32"/>
          <w:lang w:val="en-US" w:eastAsia="zh-CN"/>
          <w14:textFill>
            <w14:solidFill>
              <w14:schemeClr w14:val="tx1"/>
            </w14:solidFill>
          </w14:textFill>
        </w:rPr>
        <w:t>施工监理</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机电及金属结构设备制造监理</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EPC总承包</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施工质量自检</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平行检测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第三方质量检测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水土保持监测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环境保护监测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移民安置监督评估</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移民安置咨询服务等单位</w:t>
      </w:r>
      <w:r>
        <w:rPr>
          <w:rFonts w:hint="eastAsia" w:ascii="仿宋" w:hAnsi="仿宋" w:eastAsia="仿宋"/>
          <w:bCs/>
          <w:color w:val="000000" w:themeColor="text1"/>
          <w:sz w:val="32"/>
          <w:szCs w:val="32"/>
          <w:lang w:val="en-US" w:eastAsia="zh-CN"/>
          <w14:textFill>
            <w14:solidFill>
              <w14:schemeClr w14:val="tx1"/>
            </w14:solidFill>
          </w14:textFill>
        </w:rPr>
        <w:t>的</w:t>
      </w:r>
      <w:r>
        <w:rPr>
          <w:rFonts w:hint="default" w:ascii="仿宋" w:hAnsi="仿宋" w:eastAsia="仿宋"/>
          <w:bCs/>
          <w:color w:val="000000" w:themeColor="text1"/>
          <w:sz w:val="32"/>
          <w:szCs w:val="32"/>
          <w:lang w:val="en-US" w:eastAsia="zh-CN"/>
          <w14:textFill>
            <w14:solidFill>
              <w14:schemeClr w14:val="tx1"/>
            </w14:solidFill>
          </w14:textFill>
        </w:rPr>
        <w:t>开招标和合同签订，并全面进入现场开展工作。</w:t>
      </w:r>
      <w:r>
        <w:rPr>
          <w:rFonts w:hint="default" w:ascii="仿宋" w:hAnsi="仿宋" w:eastAsia="仿宋"/>
          <w:bCs/>
          <w:color w:val="000000" w:themeColor="text1"/>
          <w:sz w:val="32"/>
          <w:szCs w:val="32"/>
          <w:lang w:val="zh-CN" w:eastAsia="zh-CN"/>
          <w14:textFill>
            <w14:solidFill>
              <w14:schemeClr w14:val="tx1"/>
            </w14:solidFill>
          </w14:textFill>
        </w:rPr>
        <w:t>江家口水库主体工程</w:t>
      </w:r>
      <w:r>
        <w:rPr>
          <w:rFonts w:hint="default" w:ascii="仿宋" w:hAnsi="仿宋" w:eastAsia="仿宋"/>
          <w:bCs/>
          <w:color w:val="000000" w:themeColor="text1"/>
          <w:sz w:val="32"/>
          <w:szCs w:val="32"/>
          <w:lang w:val="en-US" w:eastAsia="zh-CN"/>
          <w14:textFill>
            <w14:solidFill>
              <w14:schemeClr w14:val="tx1"/>
            </w14:solidFill>
          </w14:textFill>
        </w:rPr>
        <w:t>场内道路、临建工程、营区</w:t>
      </w:r>
      <w:r>
        <w:rPr>
          <w:rFonts w:hint="eastAsia" w:ascii="仿宋" w:hAnsi="仿宋" w:eastAsia="仿宋"/>
          <w:bCs/>
          <w:color w:val="000000" w:themeColor="text1"/>
          <w:sz w:val="32"/>
          <w:szCs w:val="32"/>
          <w:lang w:val="en-US" w:eastAsia="zh-CN"/>
          <w14:textFill>
            <w14:solidFill>
              <w14:schemeClr w14:val="tx1"/>
            </w14:solidFill>
          </w14:textFill>
        </w:rPr>
        <w:t>建</w:t>
      </w:r>
      <w:r>
        <w:rPr>
          <w:rFonts w:hint="default" w:ascii="仿宋" w:hAnsi="仿宋" w:eastAsia="仿宋"/>
          <w:bCs/>
          <w:color w:val="000000" w:themeColor="text1"/>
          <w:sz w:val="32"/>
          <w:szCs w:val="32"/>
          <w:lang w:val="en-US" w:eastAsia="zh-CN"/>
          <w14:textFill>
            <w14:solidFill>
              <w14:schemeClr w14:val="tx1"/>
            </w14:solidFill>
          </w14:textFill>
        </w:rPr>
        <w:t>设等基本完成。完成移民实物成果锁定和建档立卡</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完成枢纽工程建设区的电信、移动</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联通、广电及自来水的迁复建工作；</w:t>
      </w:r>
      <w:r>
        <w:rPr>
          <w:rFonts w:hint="eastAsia" w:ascii="仿宋" w:hAnsi="仿宋" w:eastAsia="仿宋"/>
          <w:bCs/>
          <w:color w:val="000000" w:themeColor="text1"/>
          <w:sz w:val="32"/>
          <w:szCs w:val="32"/>
          <w:lang w:val="en-US" w:eastAsia="zh-CN"/>
          <w14:textFill>
            <w14:solidFill>
              <w14:schemeClr w14:val="tx1"/>
            </w14:solidFill>
          </w14:textFill>
        </w:rPr>
        <w:t>完成</w:t>
      </w:r>
      <w:r>
        <w:rPr>
          <w:rFonts w:hint="default" w:ascii="仿宋" w:hAnsi="仿宋" w:eastAsia="仿宋"/>
          <w:bCs/>
          <w:color w:val="000000" w:themeColor="text1"/>
          <w:sz w:val="32"/>
          <w:szCs w:val="32"/>
          <w:lang w:val="en-US" w:eastAsia="zh-CN"/>
          <w14:textFill>
            <w14:solidFill>
              <w14:schemeClr w14:val="tx1"/>
            </w14:solidFill>
          </w14:textFill>
        </w:rPr>
        <w:t>库周交通的地形测绘和地质勘察</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省道S203的施工图设计</w:t>
      </w:r>
      <w:r>
        <w:rPr>
          <w:rFonts w:hint="eastAsia" w:ascii="仿宋" w:hAnsi="仿宋" w:eastAsia="仿宋"/>
          <w:bCs/>
          <w:color w:val="000000" w:themeColor="text1"/>
          <w:sz w:val="32"/>
          <w:szCs w:val="32"/>
          <w:lang w:val="en-US" w:eastAsia="zh-CN"/>
          <w14:textFill>
            <w14:solidFill>
              <w14:schemeClr w14:val="tx1"/>
            </w14:solidFill>
          </w14:textFill>
        </w:rPr>
        <w:t>工作基本完成。</w:t>
      </w:r>
    </w:p>
    <w:p>
      <w:pPr>
        <w:pStyle w:val="6"/>
        <w:pageBreakBefore w:val="0"/>
        <w:kinsoku/>
        <w:wordWrap/>
        <w:overflowPunct/>
        <w:topLinePunct w:val="0"/>
        <w:bidi w:val="0"/>
        <w:spacing w:line="520" w:lineRule="exact"/>
        <w:rPr>
          <w:rStyle w:val="30"/>
          <w:b w:val="0"/>
          <w:bCs w:val="0"/>
          <w:color w:val="auto"/>
          <w:highlight w:val="none"/>
        </w:rPr>
      </w:pPr>
      <w:bookmarkStart w:id="22" w:name="_Toc15377200"/>
      <w:bookmarkStart w:id="23" w:name="_Toc280701425"/>
      <w:bookmarkStart w:id="24"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2"/>
      <w:bookmarkEnd w:id="23"/>
      <w:bookmarkEnd w:id="24"/>
    </w:p>
    <w:p>
      <w:pPr>
        <w:pageBreakBefore w:val="0"/>
        <w:kinsoku/>
        <w:wordWrap/>
        <w:overflowPunct/>
        <w:topLinePunct w:val="0"/>
        <w:bidi w:val="0"/>
        <w:spacing w:line="520" w:lineRule="exact"/>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巴中市水利局</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eastAsia="zh-CN"/>
        </w:rPr>
        <w:t>其中</w:t>
      </w:r>
      <w:r>
        <w:rPr>
          <w:rFonts w:hint="eastAsia" w:ascii="仿宋" w:hAnsi="仿宋" w:eastAsia="仿宋"/>
          <w:color w:val="auto"/>
          <w:sz w:val="32"/>
          <w:szCs w:val="32"/>
          <w:highlight w:val="none"/>
        </w:rPr>
        <w:t>参照公务员法管理的事业单位</w:t>
      </w:r>
      <w:r>
        <w:rPr>
          <w:rFonts w:hint="eastAsia" w:ascii="仿宋" w:hAnsi="仿宋" w:eastAsia="仿宋"/>
          <w:bCs/>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w:t>
      </w:r>
    </w:p>
    <w:p>
      <w:pPr>
        <w:pStyle w:val="9"/>
        <w:pageBreakBefore w:val="0"/>
        <w:kinsoku/>
        <w:wordWrap/>
        <w:overflowPunct/>
        <w:topLinePunct w:val="0"/>
        <w:bidi w:val="0"/>
        <w:adjustRightInd w:val="0"/>
        <w:snapToGrid w:val="0"/>
        <w:spacing w:before="93" w:line="52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巴中市水利局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9"/>
        <w:numPr>
          <w:ilvl w:val="0"/>
          <w:numId w:val="0"/>
        </w:numPr>
        <w:adjustRightInd w:val="0"/>
        <w:snapToGrid w:val="0"/>
        <w:spacing w:before="93" w:line="600" w:lineRule="exact"/>
        <w:ind w:firstLine="640" w:firstLineChars="200"/>
        <w:jc w:val="left"/>
        <w:outlineLvl w:val="9"/>
        <w:rPr>
          <w:rFonts w:ascii="仿宋" w:hAnsi="仿宋" w:eastAsia="仿宋"/>
          <w:color w:val="auto"/>
          <w:sz w:val="32"/>
          <w:szCs w:val="32"/>
        </w:rPr>
      </w:pPr>
      <w:bookmarkStart w:id="25" w:name="_Toc15378449"/>
      <w:bookmarkStart w:id="26" w:name="_Toc15377433"/>
      <w:bookmarkStart w:id="27" w:name="_Toc15306276"/>
      <w:bookmarkStart w:id="28" w:name="_Toc15377202"/>
      <w:r>
        <w:rPr>
          <w:rFonts w:hint="eastAsia" w:ascii="仿宋" w:hAnsi="仿宋" w:eastAsia="仿宋"/>
          <w:color w:val="auto"/>
          <w:sz w:val="32"/>
          <w:szCs w:val="32"/>
          <w:lang w:val="en-US" w:eastAsia="zh-CN"/>
        </w:rPr>
        <w:t>1.</w:t>
      </w:r>
      <w:r>
        <w:rPr>
          <w:rFonts w:ascii="仿宋" w:hAnsi="仿宋" w:eastAsia="仿宋"/>
          <w:color w:val="auto"/>
          <w:sz w:val="32"/>
          <w:szCs w:val="32"/>
        </w:rPr>
        <w:t>巴中市水利局机关</w:t>
      </w:r>
      <w:r>
        <w:rPr>
          <w:rFonts w:hint="eastAsia" w:ascii="仿宋" w:hAnsi="仿宋" w:eastAsia="仿宋"/>
          <w:color w:val="auto"/>
          <w:sz w:val="32"/>
          <w:szCs w:val="32"/>
          <w:lang w:eastAsia="zh-CN"/>
        </w:rPr>
        <w:t>（含巴中市水务综合监察支队、巴中市河湖管理保护中心、巴中市水务工程质量安全监督站）</w:t>
      </w:r>
    </w:p>
    <w:bookmarkEnd w:id="25"/>
    <w:bookmarkEnd w:id="26"/>
    <w:bookmarkEnd w:id="27"/>
    <w:bookmarkEnd w:id="28"/>
    <w:p>
      <w:pPr>
        <w:pageBreakBefore w:val="0"/>
        <w:widowControl/>
        <w:kinsoku/>
        <w:wordWrap/>
        <w:overflowPunct/>
        <w:topLinePunct w:val="0"/>
        <w:bidi w:val="0"/>
        <w:spacing w:line="520" w:lineRule="exact"/>
        <w:ind w:firstLine="640"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rPr>
        <w:t>巴中市化成水库</w:t>
      </w:r>
      <w:r>
        <w:rPr>
          <w:rFonts w:hint="eastAsia" w:ascii="仿宋" w:hAnsi="仿宋" w:eastAsia="仿宋"/>
          <w:color w:val="auto"/>
          <w:sz w:val="32"/>
          <w:szCs w:val="32"/>
          <w:lang w:eastAsia="zh-CN"/>
        </w:rPr>
        <w:t>运行保护中心</w:t>
      </w:r>
    </w:p>
    <w:p>
      <w:pPr>
        <w:pStyle w:val="9"/>
        <w:numPr>
          <w:ilvl w:val="0"/>
          <w:numId w:val="0"/>
        </w:numPr>
        <w:adjustRightInd w:val="0"/>
        <w:snapToGrid w:val="0"/>
        <w:spacing w:before="93" w:line="600" w:lineRule="exact"/>
        <w:ind w:firstLine="640" w:firstLineChars="200"/>
        <w:outlineLvl w:val="9"/>
        <w:rPr>
          <w:rFonts w:ascii="仿宋" w:hAnsi="仿宋" w:eastAsia="仿宋"/>
          <w:color w:val="auto"/>
          <w:sz w:val="32"/>
          <w:szCs w:val="32"/>
          <w:highlight w:val="none"/>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巴中市柳津湖</w:t>
      </w:r>
      <w:r>
        <w:rPr>
          <w:rFonts w:hint="eastAsia" w:ascii="仿宋" w:hAnsi="仿宋" w:eastAsia="仿宋"/>
          <w:color w:val="auto"/>
          <w:sz w:val="32"/>
          <w:szCs w:val="32"/>
          <w:lang w:eastAsia="zh-CN"/>
        </w:rPr>
        <w:t>运行保护中心</w:t>
      </w:r>
    </w:p>
    <w:p>
      <w:pPr>
        <w:pStyle w:val="9"/>
        <w:numPr>
          <w:ilvl w:val="0"/>
          <w:numId w:val="0"/>
        </w:numPr>
        <w:adjustRightInd w:val="0"/>
        <w:snapToGrid w:val="0"/>
        <w:spacing w:before="93" w:line="600" w:lineRule="exact"/>
        <w:ind w:firstLine="640" w:firstLineChars="200"/>
        <w:outlineLvl w:val="9"/>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000000"/>
          <w:sz w:val="32"/>
          <w:szCs w:val="32"/>
        </w:rPr>
        <w:t>巴中市江家口水库建设管理中心</w:t>
      </w:r>
      <w:r>
        <w:rPr>
          <w:rFonts w:ascii="仿宋" w:hAnsi="仿宋" w:eastAsia="仿宋"/>
          <w:color w:val="auto"/>
          <w:sz w:val="32"/>
          <w:szCs w:val="32"/>
          <w:highlight w:val="none"/>
        </w:rPr>
        <w:br w:type="page"/>
      </w:r>
    </w:p>
    <w:p>
      <w:pPr>
        <w:pStyle w:val="5"/>
        <w:pageBreakBefore w:val="0"/>
        <w:kinsoku/>
        <w:wordWrap/>
        <w:overflowPunct/>
        <w:topLinePunct w:val="0"/>
        <w:bidi w:val="0"/>
        <w:spacing w:line="520" w:lineRule="exact"/>
        <w:ind w:right="440"/>
        <w:jc w:val="center"/>
        <w:rPr>
          <w:color w:val="auto"/>
          <w:highlight w:val="none"/>
        </w:rPr>
      </w:pPr>
      <w:bookmarkStart w:id="29" w:name="_Toc15377204"/>
      <w:bookmarkStart w:id="30" w:name="_Toc555477458"/>
      <w:bookmarkStart w:id="31"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rPr>
        <w:t>部门决算情况说明</w:t>
      </w:r>
      <w:bookmarkEnd w:id="29"/>
      <w:bookmarkEnd w:id="30"/>
      <w:bookmarkEnd w:id="31"/>
    </w:p>
    <w:p>
      <w:pPr>
        <w:pStyle w:val="28"/>
        <w:pageBreakBefore w:val="0"/>
        <w:numPr>
          <w:ilvl w:val="0"/>
          <w:numId w:val="1"/>
        </w:numPr>
        <w:kinsoku/>
        <w:wordWrap/>
        <w:overflowPunct/>
        <w:topLinePunct w:val="0"/>
        <w:bidi w:val="0"/>
        <w:spacing w:line="520" w:lineRule="exact"/>
        <w:ind w:firstLineChars="0"/>
        <w:outlineLvl w:val="1"/>
        <w:rPr>
          <w:rStyle w:val="30"/>
          <w:rFonts w:ascii="黑体" w:hAnsi="黑体" w:eastAsia="黑体"/>
          <w:b w:val="0"/>
          <w:color w:val="auto"/>
          <w:highlight w:val="none"/>
        </w:rPr>
      </w:pPr>
      <w:bookmarkStart w:id="32" w:name="_Toc15377205"/>
      <w:bookmarkStart w:id="33" w:name="_Toc15396603"/>
      <w:bookmarkStart w:id="34" w:name="_Toc122979662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2"/>
      <w:bookmarkEnd w:id="33"/>
      <w:bookmarkEnd w:id="34"/>
    </w:p>
    <w:p>
      <w:pPr>
        <w:pageBreakBefore w:val="0"/>
        <w:kinsoku/>
        <w:wordWrap/>
        <w:overflowPunct/>
        <w:topLinePunct w:val="0"/>
        <w:bidi w:val="0"/>
        <w:spacing w:line="520" w:lineRule="exact"/>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年度收入总计54514.12万元，与20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年相比，收入总计</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rPr>
        <w:t>40209.11万元，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42.44</w:t>
      </w:r>
      <w:r>
        <w:rPr>
          <w:rFonts w:hint="eastAsia" w:ascii="仿宋" w:hAnsi="仿宋" w:eastAsia="仿宋"/>
          <w:color w:val="auto"/>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主要是因为：202</w:t>
      </w:r>
      <w:r>
        <w:rPr>
          <w:rFonts w:hint="eastAsia" w:ascii="仿宋" w:hAnsi="仿宋" w:eastAsia="仿宋"/>
          <w:color w:val="000000" w:themeColor="text1"/>
          <w:sz w:val="32"/>
          <w:szCs w:val="32"/>
          <w:highlight w:val="none"/>
          <w:lang w:val="en-US" w:eastAsia="zh-CN"/>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年江家口水库项目资金安排减少</w:t>
      </w:r>
      <w:r>
        <w:rPr>
          <w:rFonts w:hint="eastAsia" w:ascii="仿宋" w:hAnsi="仿宋" w:eastAsia="仿宋"/>
          <w:color w:val="000000" w:themeColor="text1"/>
          <w:sz w:val="32"/>
          <w:szCs w:val="32"/>
          <w:highlight w:val="none"/>
          <w:lang w:eastAsia="zh-CN"/>
          <w14:textFill>
            <w14:solidFill>
              <w14:schemeClr w14:val="tx1"/>
            </w14:solidFill>
          </w14:textFill>
        </w:rPr>
        <w:t>、巴河二期防洪工程资金减少、柳津湖运行经费减少。</w:t>
      </w:r>
    </w:p>
    <w:p>
      <w:pPr>
        <w:pageBreakBefore w:val="0"/>
        <w:kinsoku/>
        <w:wordWrap/>
        <w:overflowPunct/>
        <w:topLinePunct w:val="0"/>
        <w:bidi w:val="0"/>
        <w:spacing w:line="52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年度支出总计68020.36万元。与20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年相比，支出总计增加39072.54万元，增加</w:t>
      </w:r>
      <w:r>
        <w:rPr>
          <w:rFonts w:hint="eastAsia" w:ascii="仿宋" w:hAnsi="仿宋" w:eastAsia="仿宋"/>
          <w:color w:val="000000"/>
          <w:sz w:val="32"/>
          <w:szCs w:val="32"/>
          <w:lang w:val="en-US" w:eastAsia="zh-CN"/>
        </w:rPr>
        <w:t>134</w:t>
      </w:r>
      <w:r>
        <w:rPr>
          <w:rFonts w:hint="eastAsia" w:ascii="仿宋" w:hAnsi="仿宋" w:eastAsia="仿宋"/>
          <w:color w:val="000000"/>
          <w:sz w:val="32"/>
          <w:szCs w:val="32"/>
        </w:rPr>
        <w:t>%</w:t>
      </w: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eastAsia="zh-CN"/>
        </w:rPr>
        <w:t>主</w:t>
      </w:r>
      <w:r>
        <w:rPr>
          <w:rFonts w:hint="eastAsia" w:ascii="仿宋" w:hAnsi="仿宋" w:eastAsia="仿宋"/>
          <w:color w:val="000000"/>
          <w:sz w:val="32"/>
          <w:szCs w:val="32"/>
          <w:lang w:val="en-US" w:eastAsia="zh-CN"/>
        </w:rPr>
        <w:t>要变动原因是江家口水库工程进入建设阶段，</w:t>
      </w:r>
      <w:r>
        <w:rPr>
          <w:rFonts w:hint="eastAsia" w:ascii="仿宋" w:hAnsi="仿宋" w:eastAsia="仿宋"/>
          <w:color w:val="000000"/>
          <w:sz w:val="32"/>
          <w:szCs w:val="32"/>
          <w:lang w:eastAsia="zh-CN"/>
        </w:rPr>
        <w:t>参建各方进场施工，支付工程款增加。</w:t>
      </w:r>
    </w:p>
    <w:p>
      <w:pPr>
        <w:pageBreakBefore w:val="0"/>
        <w:kinsoku/>
        <w:wordWrap/>
        <w:overflowPunct/>
        <w:topLinePunct w:val="0"/>
        <w:bidi w:val="0"/>
        <w:spacing w:line="520" w:lineRule="exact"/>
        <w:ind w:firstLine="420" w:firstLineChars="200"/>
        <w:jc w:val="center"/>
      </w:pPr>
      <w:r>
        <w:drawing>
          <wp:anchor distT="0" distB="0" distL="114300" distR="114300" simplePos="0" relativeHeight="251660288" behindDoc="0" locked="0" layoutInCell="1" allowOverlap="1">
            <wp:simplePos x="0" y="0"/>
            <wp:positionH relativeFrom="column">
              <wp:posOffset>835025</wp:posOffset>
            </wp:positionH>
            <wp:positionV relativeFrom="paragraph">
              <wp:posOffset>49530</wp:posOffset>
            </wp:positionV>
            <wp:extent cx="4029075" cy="238125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029075" cy="2381250"/>
                    </a:xfrm>
                    <a:prstGeom prst="rect">
                      <a:avLst/>
                    </a:prstGeom>
                    <a:noFill/>
                    <a:ln>
                      <a:noFill/>
                    </a:ln>
                  </pic:spPr>
                </pic:pic>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1361" w:firstLineChars="0"/>
        <w:textAlignment w:val="auto"/>
        <w:outlineLvl w:val="1"/>
        <w:rPr>
          <w:rStyle w:val="30"/>
          <w:rFonts w:ascii="黑体" w:hAnsi="黑体" w:eastAsia="黑体"/>
          <w:b w:val="0"/>
          <w:color w:val="auto"/>
          <w:highlight w:val="none"/>
        </w:rPr>
      </w:pPr>
      <w:bookmarkStart w:id="35" w:name="_Toc1361475099"/>
      <w:bookmarkStart w:id="36" w:name="_Toc15396604"/>
      <w:bookmarkStart w:id="37" w:name="_Toc15377206"/>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35"/>
      <w:bookmarkEnd w:id="36"/>
      <w:bookmarkEnd w:id="37"/>
    </w:p>
    <w:p>
      <w:pPr>
        <w:pageBreakBefore w:val="0"/>
        <w:kinsoku/>
        <w:wordWrap/>
        <w:overflowPunct/>
        <w:topLinePunct w:val="0"/>
        <w:bidi w:val="0"/>
        <w:spacing w:line="52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年本年收入合计54514.12万元，其中：一般公共预算财政拨款收入43376.12万元，占</w:t>
      </w:r>
      <w:r>
        <w:rPr>
          <w:rFonts w:hint="eastAsia" w:ascii="仿宋" w:hAnsi="仿宋" w:eastAsia="仿宋"/>
          <w:color w:val="000000"/>
          <w:sz w:val="32"/>
          <w:szCs w:val="32"/>
          <w:lang w:val="en-US" w:eastAsia="zh-CN"/>
        </w:rPr>
        <w:t>79.57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；政府性基金预算财政拨款收入11138万元，占</w:t>
      </w:r>
      <w:r>
        <w:rPr>
          <w:rFonts w:hint="eastAsia" w:ascii="仿宋" w:hAnsi="仿宋" w:eastAsia="仿宋"/>
          <w:color w:val="000000"/>
          <w:sz w:val="32"/>
          <w:szCs w:val="32"/>
          <w:lang w:val="en-US" w:eastAsia="zh-CN"/>
        </w:rPr>
        <w:t>20.43</w:t>
      </w:r>
      <w:r>
        <w:rPr>
          <w:rFonts w:ascii="仿宋" w:hAnsi="仿宋" w:eastAsia="仿宋"/>
          <w:color w:val="000000"/>
          <w:sz w:val="32"/>
          <w:szCs w:val="32"/>
        </w:rPr>
        <w:t>%</w:t>
      </w:r>
      <w:r>
        <w:rPr>
          <w:rFonts w:hint="eastAsia" w:ascii="仿宋" w:hAnsi="仿宋" w:eastAsia="仿宋"/>
          <w:color w:val="000000"/>
          <w:sz w:val="32"/>
          <w:szCs w:val="32"/>
        </w:rPr>
        <w:t>。</w:t>
      </w:r>
    </w:p>
    <w:p>
      <w:pPr>
        <w:pStyle w:val="9"/>
        <w:pageBreakBefore w:val="0"/>
        <w:kinsoku/>
        <w:wordWrap/>
        <w:overflowPunct/>
        <w:topLinePunct w:val="0"/>
        <w:bidi w:val="0"/>
        <w:spacing w:line="520" w:lineRule="exact"/>
        <w:jc w:val="center"/>
        <w:rPr>
          <w:rFonts w:ascii="仿宋_GB2312" w:eastAsia="仿宋_GB2312"/>
          <w:color w:val="auto"/>
          <w:sz w:val="32"/>
          <w:szCs w:val="32"/>
          <w:highlight w:val="none"/>
        </w:rPr>
      </w:pPr>
      <w:r>
        <w:drawing>
          <wp:anchor distT="0" distB="0" distL="114300" distR="114300" simplePos="0" relativeHeight="251661312" behindDoc="0" locked="0" layoutInCell="1" allowOverlap="1">
            <wp:simplePos x="0" y="0"/>
            <wp:positionH relativeFrom="column">
              <wp:posOffset>713740</wp:posOffset>
            </wp:positionH>
            <wp:positionV relativeFrom="paragraph">
              <wp:posOffset>79375</wp:posOffset>
            </wp:positionV>
            <wp:extent cx="3729990" cy="1880870"/>
            <wp:effectExtent l="0" t="0" r="3810" b="508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3729990" cy="1880870"/>
                    </a:xfrm>
                    <a:prstGeom prst="rect">
                      <a:avLst/>
                    </a:prstGeom>
                    <a:noFill/>
                    <a:ln>
                      <a:noFill/>
                    </a:ln>
                  </pic:spPr>
                </pic:pic>
              </a:graphicData>
            </a:graphic>
          </wp:anchor>
        </w:drawing>
      </w:r>
      <w:r>
        <w:rPr>
          <w:rFonts w:hint="eastAsia" w:ascii="仿宋" w:hAnsi="仿宋" w:eastAsia="仿宋"/>
          <w:color w:val="auto"/>
          <w:sz w:val="32"/>
          <w:szCs w:val="32"/>
          <w:highlight w:val="none"/>
        </w:rPr>
        <w:t>图2：收入决算结构图</w:t>
      </w:r>
    </w:p>
    <w:p>
      <w:pPr>
        <w:pStyle w:val="28"/>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1361" w:firstLineChars="0"/>
        <w:textAlignment w:val="auto"/>
        <w:outlineLvl w:val="1"/>
        <w:rPr>
          <w:rStyle w:val="30"/>
          <w:rFonts w:ascii="黑体" w:hAnsi="黑体" w:eastAsia="黑体"/>
          <w:b w:val="0"/>
          <w:color w:val="auto"/>
          <w:highlight w:val="none"/>
        </w:rPr>
      </w:pPr>
      <w:bookmarkStart w:id="38" w:name="_Toc1061580640"/>
      <w:bookmarkStart w:id="39" w:name="_Toc15396605"/>
      <w:bookmarkStart w:id="40" w:name="_Toc15377207"/>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38"/>
      <w:bookmarkEnd w:id="39"/>
      <w:bookmarkEnd w:id="40"/>
    </w:p>
    <w:p>
      <w:pPr>
        <w:pageBreakBefore w:val="0"/>
        <w:kinsoku/>
        <w:wordWrap/>
        <w:overflowPunct/>
        <w:topLinePunct w:val="0"/>
        <w:bidi w:val="0"/>
        <w:spacing w:line="520" w:lineRule="exact"/>
        <w:ind w:firstLine="640" w:firstLineChars="200"/>
        <w:jc w:val="left"/>
        <w:rPr>
          <w:rFonts w:hint="eastAsia" w:ascii="仿宋" w:hAnsi="仿宋" w:eastAsia="仿宋"/>
          <w:color w:val="auto"/>
          <w:sz w:val="32"/>
          <w:szCs w:val="32"/>
          <w:highlight w:val="none"/>
          <w:shd w:val="pct10" w:color="auto" w:fill="FFFFFF"/>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年支出合计68020.36万元，其中：基本支出1325.18万元，占</w:t>
      </w:r>
      <w:r>
        <w:rPr>
          <w:rFonts w:hint="eastAsia" w:ascii="仿宋" w:hAnsi="仿宋" w:eastAsia="仿宋"/>
          <w:color w:val="000000"/>
          <w:sz w:val="32"/>
          <w:szCs w:val="32"/>
          <w:lang w:val="en-US" w:eastAsia="zh-CN"/>
        </w:rPr>
        <w:t>1.94</w:t>
      </w:r>
      <w:r>
        <w:rPr>
          <w:rFonts w:ascii="仿宋" w:hAnsi="仿宋" w:eastAsia="仿宋"/>
          <w:color w:val="000000"/>
          <w:sz w:val="32"/>
          <w:szCs w:val="32"/>
        </w:rPr>
        <w:t>%</w:t>
      </w:r>
      <w:r>
        <w:rPr>
          <w:rFonts w:hint="eastAsia" w:ascii="仿宋" w:hAnsi="仿宋" w:eastAsia="仿宋"/>
          <w:color w:val="000000"/>
          <w:sz w:val="32"/>
          <w:szCs w:val="32"/>
        </w:rPr>
        <w:t>；项目支出66695.19万元，占</w:t>
      </w:r>
      <w:r>
        <w:rPr>
          <w:rFonts w:hint="eastAsia" w:ascii="仿宋" w:hAnsi="仿宋" w:eastAsia="仿宋"/>
          <w:color w:val="000000"/>
          <w:sz w:val="32"/>
          <w:szCs w:val="32"/>
          <w:lang w:val="en-US" w:eastAsia="zh-CN"/>
        </w:rPr>
        <w:t>98.06</w:t>
      </w:r>
      <w:r>
        <w:rPr>
          <w:rFonts w:ascii="仿宋" w:hAnsi="仿宋" w:eastAsia="仿宋"/>
          <w:color w:val="000000"/>
          <w:sz w:val="32"/>
          <w:szCs w:val="32"/>
        </w:rPr>
        <w:t>%</w:t>
      </w:r>
      <w:r>
        <w:rPr>
          <w:rFonts w:hint="eastAsia" w:ascii="仿宋" w:hAnsi="仿宋" w:eastAsia="仿宋"/>
          <w:color w:val="000000"/>
          <w:sz w:val="32"/>
          <w:szCs w:val="32"/>
          <w:lang w:eastAsia="zh-CN"/>
        </w:rPr>
        <w:t>，其中江家口水库</w:t>
      </w:r>
      <w:r>
        <w:rPr>
          <w:rFonts w:hint="eastAsia" w:ascii="仿宋" w:hAnsi="仿宋" w:eastAsia="仿宋"/>
          <w:color w:val="000000"/>
          <w:sz w:val="32"/>
          <w:szCs w:val="32"/>
        </w:rPr>
        <w:t>项目支出 56702.8万元</w:t>
      </w:r>
      <w:r>
        <w:rPr>
          <w:rFonts w:hint="eastAsia" w:ascii="仿宋" w:hAnsi="仿宋" w:eastAsia="仿宋"/>
          <w:color w:val="000000"/>
          <w:sz w:val="32"/>
          <w:szCs w:val="32"/>
          <w:lang w:eastAsia="zh-CN"/>
        </w:rPr>
        <w:t>。</w:t>
      </w:r>
    </w:p>
    <w:p>
      <w:pPr>
        <w:pStyle w:val="9"/>
        <w:pageBreakBefore w:val="0"/>
        <w:kinsoku/>
        <w:wordWrap/>
        <w:overflowPunct/>
        <w:topLinePunct w:val="0"/>
        <w:bidi w:val="0"/>
        <w:spacing w:line="520" w:lineRule="exact"/>
        <w:jc w:val="center"/>
      </w:pPr>
      <w:r>
        <w:drawing>
          <wp:anchor distT="0" distB="0" distL="114300" distR="114300" simplePos="0" relativeHeight="251662336" behindDoc="0" locked="0" layoutInCell="1" allowOverlap="1">
            <wp:simplePos x="0" y="0"/>
            <wp:positionH relativeFrom="column">
              <wp:posOffset>1253490</wp:posOffset>
            </wp:positionH>
            <wp:positionV relativeFrom="paragraph">
              <wp:posOffset>84455</wp:posOffset>
            </wp:positionV>
            <wp:extent cx="3343275" cy="1695450"/>
            <wp:effectExtent l="0" t="0" r="9525" b="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3343275" cy="1695450"/>
                    </a:xfrm>
                    <a:prstGeom prst="rect">
                      <a:avLst/>
                    </a:prstGeom>
                    <a:noFill/>
                    <a:ln>
                      <a:noFill/>
                    </a:ln>
                  </pic:spPr>
                </pic:pic>
              </a:graphicData>
            </a:graphic>
          </wp:anchor>
        </w:drawing>
      </w:r>
      <w:r>
        <w:rPr>
          <w:rFonts w:hint="eastAsia" w:ascii="仿宋" w:hAnsi="仿宋" w:eastAsia="仿宋"/>
          <w:color w:val="auto"/>
          <w:sz w:val="32"/>
          <w:szCs w:val="32"/>
          <w:highlight w:val="none"/>
        </w:rPr>
        <w:t>图3：支出决算结构图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outlineLvl w:val="1"/>
        <w:rPr>
          <w:rStyle w:val="30"/>
          <w:rFonts w:ascii="黑体" w:hAnsi="黑体" w:eastAsia="黑体"/>
          <w:b w:val="0"/>
          <w:color w:val="auto"/>
          <w:highlight w:val="none"/>
        </w:rPr>
      </w:pPr>
      <w:bookmarkStart w:id="41" w:name="_Toc751388662"/>
      <w:bookmarkStart w:id="42" w:name="_Toc15396606"/>
      <w:bookmarkStart w:id="43" w:name="_Toc15377208"/>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41"/>
      <w:bookmarkEnd w:id="42"/>
      <w:bookmarkEnd w:id="43"/>
    </w:p>
    <w:p>
      <w:pPr>
        <w:pageBreakBefore w:val="0"/>
        <w:kinsoku/>
        <w:wordWrap/>
        <w:overflowPunct/>
        <w:topLinePunct w:val="0"/>
        <w:bidi w:val="0"/>
        <w:spacing w:line="520" w:lineRule="exact"/>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000000"/>
          <w:sz w:val="32"/>
          <w:szCs w:val="32"/>
        </w:rPr>
        <w:t>54514.12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年相比，收入总计</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rPr>
        <w:t>40209.11万元，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42.44</w:t>
      </w:r>
      <w:r>
        <w:rPr>
          <w:rFonts w:hint="eastAsia" w:ascii="仿宋" w:hAnsi="仿宋" w:eastAsia="仿宋"/>
          <w:color w:val="auto"/>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主要是因为：202</w:t>
      </w:r>
      <w:r>
        <w:rPr>
          <w:rFonts w:hint="eastAsia" w:ascii="仿宋" w:hAnsi="仿宋" w:eastAsia="仿宋"/>
          <w:color w:val="000000" w:themeColor="text1"/>
          <w:sz w:val="32"/>
          <w:szCs w:val="32"/>
          <w:highlight w:val="none"/>
          <w:lang w:val="en-US" w:eastAsia="zh-CN"/>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年江家口水库项目资金安排减少</w:t>
      </w:r>
      <w:r>
        <w:rPr>
          <w:rFonts w:hint="eastAsia" w:ascii="仿宋" w:hAnsi="仿宋" w:eastAsia="仿宋"/>
          <w:color w:val="000000" w:themeColor="text1"/>
          <w:sz w:val="32"/>
          <w:szCs w:val="32"/>
          <w:highlight w:val="none"/>
          <w:lang w:eastAsia="zh-CN"/>
          <w14:textFill>
            <w14:solidFill>
              <w14:schemeClr w14:val="tx1"/>
            </w14:solidFill>
          </w14:textFill>
        </w:rPr>
        <w:t>、巴河二期防洪工程资金减少、柳津湖运行经费减少。</w:t>
      </w:r>
    </w:p>
    <w:p>
      <w:pPr>
        <w:pageBreakBefore w:val="0"/>
        <w:kinsoku/>
        <w:wordWrap/>
        <w:overflowPunct/>
        <w:topLinePunct w:val="0"/>
        <w:bidi w:val="0"/>
        <w:spacing w:line="520" w:lineRule="exact"/>
        <w:ind w:firstLine="640" w:firstLineChars="200"/>
        <w:rPr>
          <w:rFonts w:hint="eastAsia" w:ascii="仿宋" w:hAnsi="仿宋" w:eastAsia="仿宋"/>
          <w:color w:val="FF0000"/>
          <w:sz w:val="32"/>
          <w:szCs w:val="32"/>
          <w:highlight w:val="none"/>
          <w:lang w:val="en-US"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年度支出总计68020.36万元。与20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年相比，支出总计增加39072.54万元，增加</w:t>
      </w:r>
      <w:r>
        <w:rPr>
          <w:rFonts w:hint="eastAsia" w:ascii="仿宋" w:hAnsi="仿宋" w:eastAsia="仿宋"/>
          <w:color w:val="000000"/>
          <w:sz w:val="32"/>
          <w:szCs w:val="32"/>
          <w:lang w:val="en-US" w:eastAsia="zh-CN"/>
        </w:rPr>
        <w:t>134</w:t>
      </w:r>
      <w:r>
        <w:rPr>
          <w:rFonts w:hint="eastAsia" w:ascii="仿宋" w:hAnsi="仿宋" w:eastAsia="仿宋"/>
          <w:color w:val="000000"/>
          <w:sz w:val="32"/>
          <w:szCs w:val="32"/>
        </w:rPr>
        <w:t>%</w:t>
      </w: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eastAsia="zh-CN"/>
        </w:rPr>
        <w:t>主</w:t>
      </w:r>
      <w:r>
        <w:rPr>
          <w:rFonts w:hint="eastAsia" w:ascii="仿宋" w:hAnsi="仿宋" w:eastAsia="仿宋"/>
          <w:color w:val="000000"/>
          <w:sz w:val="32"/>
          <w:szCs w:val="32"/>
          <w:lang w:val="en-US" w:eastAsia="zh-CN"/>
        </w:rPr>
        <w:t>要变动原因是江家口水库工程进入建设阶段，</w:t>
      </w:r>
      <w:r>
        <w:rPr>
          <w:rFonts w:hint="eastAsia" w:ascii="仿宋" w:hAnsi="仿宋" w:eastAsia="仿宋"/>
          <w:color w:val="000000"/>
          <w:sz w:val="32"/>
          <w:szCs w:val="32"/>
          <w:lang w:eastAsia="zh-CN"/>
        </w:rPr>
        <w:t>参建各方进场施工，支付工程款增加。</w:t>
      </w:r>
    </w:p>
    <w:p>
      <w:pPr>
        <w:pStyle w:val="9"/>
        <w:keepNext w:val="0"/>
        <w:keepLines w:val="0"/>
        <w:pageBreakBefore w:val="0"/>
        <w:widowControl w:val="0"/>
        <w:kinsoku/>
        <w:wordWrap/>
        <w:overflowPunct/>
        <w:topLinePunct w:val="0"/>
        <w:autoSpaceDE/>
        <w:autoSpaceDN/>
        <w:bidi w:val="0"/>
        <w:adjustRightInd/>
        <w:snapToGrid/>
        <w:spacing w:after="157" w:afterLines="50" w:line="520" w:lineRule="exact"/>
        <w:ind w:firstLine="641"/>
        <w:jc w:val="center"/>
        <w:textAlignment w:val="auto"/>
      </w:pPr>
      <w:r>
        <w:drawing>
          <wp:anchor distT="0" distB="0" distL="114300" distR="114300" simplePos="0" relativeHeight="251663360" behindDoc="0" locked="0" layoutInCell="1" allowOverlap="1">
            <wp:simplePos x="0" y="0"/>
            <wp:positionH relativeFrom="column">
              <wp:posOffset>808990</wp:posOffset>
            </wp:positionH>
            <wp:positionV relativeFrom="paragraph">
              <wp:posOffset>56515</wp:posOffset>
            </wp:positionV>
            <wp:extent cx="3819525" cy="2314575"/>
            <wp:effectExtent l="5080" t="4445" r="4445" b="5080"/>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40" w:firstLineChars="200"/>
        <w:textAlignment w:val="auto"/>
        <w:outlineLvl w:val="1"/>
        <w:rPr>
          <w:rStyle w:val="30"/>
          <w:rFonts w:ascii="黑体" w:hAnsi="黑体" w:eastAsia="黑体"/>
          <w:b w:val="0"/>
          <w:color w:val="auto"/>
          <w:highlight w:val="none"/>
        </w:rPr>
      </w:pPr>
      <w:bookmarkStart w:id="44" w:name="_Toc15396607"/>
      <w:bookmarkStart w:id="45" w:name="_Toc1042593102"/>
      <w:bookmarkStart w:id="46"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43" w:firstLineChars="200"/>
        <w:textAlignment w:val="auto"/>
        <w:outlineLvl w:val="2"/>
        <w:rPr>
          <w:rFonts w:ascii="仿宋" w:hAnsi="仿宋" w:eastAsia="仿宋"/>
          <w:b/>
          <w:color w:val="auto"/>
          <w:sz w:val="32"/>
          <w:szCs w:val="32"/>
          <w:highlight w:val="none"/>
        </w:rPr>
      </w:pPr>
      <w:bookmarkStart w:id="47" w:name="_Toc1315988198"/>
      <w:bookmarkStart w:id="48" w:name="_Toc15377210"/>
      <w:r>
        <w:rPr>
          <w:rFonts w:hint="eastAsia" w:ascii="仿宋" w:hAnsi="仿宋" w:eastAsia="仿宋"/>
          <w:b/>
          <w:color w:val="auto"/>
          <w:sz w:val="32"/>
          <w:szCs w:val="32"/>
          <w:highlight w:val="none"/>
        </w:rPr>
        <w:t>（一）一般公共预算财政拨款支出决算总体情况</w:t>
      </w:r>
      <w:bookmarkEnd w:id="47"/>
      <w:bookmarkEnd w:id="48"/>
    </w:p>
    <w:p>
      <w:pPr>
        <w:pageBreakBefore w:val="0"/>
        <w:kinsoku/>
        <w:wordWrap/>
        <w:overflowPunct/>
        <w:topLinePunct w:val="0"/>
        <w:bidi w:val="0"/>
        <w:spacing w:line="520" w:lineRule="exact"/>
        <w:ind w:firstLine="640" w:firstLineChars="200"/>
        <w:rPr>
          <w:rFonts w:hint="eastAsia"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年一般公共预算财政拨款支出59123.08万元，占本年支出合计的</w:t>
      </w:r>
      <w:r>
        <w:rPr>
          <w:rFonts w:hint="eastAsia" w:ascii="仿宋" w:hAnsi="仿宋" w:eastAsia="仿宋"/>
          <w:color w:val="auto"/>
          <w:sz w:val="32"/>
          <w:szCs w:val="32"/>
          <w:highlight w:val="none"/>
          <w:lang w:val="en-US" w:eastAsia="zh-CN"/>
        </w:rPr>
        <w:t>86.92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增加50962.19万元，增长</w:t>
      </w:r>
      <w:r>
        <w:rPr>
          <w:rFonts w:hint="eastAsia" w:ascii="仿宋" w:hAnsi="仿宋" w:eastAsia="仿宋"/>
          <w:color w:val="auto"/>
          <w:sz w:val="32"/>
          <w:szCs w:val="32"/>
          <w:highlight w:val="none"/>
          <w:lang w:val="en-US" w:eastAsia="zh-CN"/>
        </w:rPr>
        <w:t>624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江家口水库工程进入建设阶段，</w:t>
      </w:r>
      <w:r>
        <w:rPr>
          <w:rFonts w:hint="eastAsia" w:ascii="仿宋" w:hAnsi="仿宋" w:eastAsia="仿宋"/>
          <w:color w:val="000000"/>
          <w:sz w:val="32"/>
          <w:szCs w:val="32"/>
          <w:lang w:eastAsia="zh-CN"/>
        </w:rPr>
        <w:t>参建各方进场施工，支付工程款增加。</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pPr>
      <w:r>
        <w:drawing>
          <wp:anchor distT="0" distB="0" distL="114300" distR="114300" simplePos="0" relativeHeight="251664384" behindDoc="0" locked="0" layoutInCell="1" allowOverlap="1">
            <wp:simplePos x="0" y="0"/>
            <wp:positionH relativeFrom="column">
              <wp:posOffset>988695</wp:posOffset>
            </wp:positionH>
            <wp:positionV relativeFrom="paragraph">
              <wp:posOffset>8890</wp:posOffset>
            </wp:positionV>
            <wp:extent cx="3600450" cy="2209800"/>
            <wp:effectExtent l="4445" t="4445" r="14605" b="1460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图5：一般公共预算财政拨款支出决算变动情况</w:t>
      </w:r>
    </w:p>
    <w:p>
      <w:pPr>
        <w:pageBreakBefore w:val="0"/>
        <w:kinsoku/>
        <w:wordWrap/>
        <w:overflowPunct/>
        <w:topLinePunct w:val="0"/>
        <w:bidi w:val="0"/>
        <w:spacing w:line="520" w:lineRule="exact"/>
        <w:ind w:firstLine="643" w:firstLineChars="200"/>
        <w:outlineLvl w:val="2"/>
        <w:rPr>
          <w:rFonts w:ascii="仿宋" w:hAnsi="仿宋" w:eastAsia="仿宋"/>
          <w:b/>
          <w:color w:val="auto"/>
          <w:sz w:val="32"/>
          <w:szCs w:val="32"/>
          <w:highlight w:val="none"/>
        </w:rPr>
      </w:pPr>
      <w:bookmarkStart w:id="49" w:name="_Toc1863928198"/>
      <w:bookmarkStart w:id="50" w:name="_Toc15377211"/>
      <w:r>
        <w:rPr>
          <w:rFonts w:hint="eastAsia" w:ascii="仿宋" w:hAnsi="仿宋" w:eastAsia="仿宋"/>
          <w:b/>
          <w:color w:val="auto"/>
          <w:sz w:val="32"/>
          <w:szCs w:val="32"/>
          <w:highlight w:val="none"/>
        </w:rPr>
        <w:t>（二）一般公共预算财政拨款支出决算结构情况</w:t>
      </w:r>
      <w:bookmarkEnd w:id="49"/>
      <w:bookmarkEnd w:id="50"/>
    </w:p>
    <w:p>
      <w:pPr>
        <w:pageBreakBefore w:val="0"/>
        <w:kinsoku/>
        <w:wordWrap/>
        <w:overflowPunct/>
        <w:topLinePunct w:val="0"/>
        <w:bidi w:val="0"/>
        <w:spacing w:line="52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年一般公共预算财政拨款支出59123.08万元，主要用于以下方面</w:t>
      </w:r>
      <w:r>
        <w:rPr>
          <w:rFonts w:ascii="仿宋" w:hAnsi="仿宋" w:eastAsia="仿宋"/>
          <w:color w:val="auto"/>
          <w:sz w:val="32"/>
          <w:szCs w:val="32"/>
          <w:highlight w:val="none"/>
        </w:rPr>
        <w:t>:</w:t>
      </w:r>
      <w:r>
        <w:rPr>
          <w:rFonts w:hint="eastAsia" w:ascii="仿宋" w:hAnsi="仿宋" w:eastAsia="仿宋"/>
          <w:b w:val="0"/>
          <w:bCs/>
          <w:color w:val="auto"/>
          <w:sz w:val="32"/>
          <w:szCs w:val="32"/>
          <w:highlight w:val="none"/>
        </w:rPr>
        <w:t>教育支出（类）</w:t>
      </w:r>
      <w:r>
        <w:rPr>
          <w:rFonts w:hint="eastAsia" w:ascii="仿宋" w:hAnsi="仿宋" w:eastAsia="仿宋"/>
          <w:b w:val="0"/>
          <w:bCs/>
          <w:color w:val="auto"/>
          <w:sz w:val="32"/>
          <w:szCs w:val="32"/>
          <w:highlight w:val="none"/>
          <w:lang w:val="en-US" w:eastAsia="zh-CN"/>
        </w:rPr>
        <w:t>5</w:t>
      </w:r>
      <w:r>
        <w:rPr>
          <w:rFonts w:hint="eastAsia" w:ascii="仿宋" w:hAnsi="仿宋" w:eastAsia="仿宋"/>
          <w:b w:val="0"/>
          <w:bCs/>
          <w:color w:val="auto"/>
          <w:sz w:val="32"/>
          <w:szCs w:val="32"/>
          <w:highlight w:val="none"/>
        </w:rPr>
        <w:t>万元，占</w:t>
      </w:r>
      <w:r>
        <w:rPr>
          <w:rFonts w:hint="eastAsia" w:ascii="仿宋" w:hAnsi="仿宋" w:eastAsia="仿宋"/>
          <w:b w:val="0"/>
          <w:bCs/>
          <w:color w:val="auto"/>
          <w:sz w:val="32"/>
          <w:szCs w:val="32"/>
          <w:highlight w:val="none"/>
          <w:lang w:val="en-US" w:eastAsia="zh-CN"/>
        </w:rPr>
        <w:t>0.008</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；社会保障和就业（类）支出</w:t>
      </w:r>
      <w:r>
        <w:rPr>
          <w:rFonts w:hint="eastAsia" w:ascii="仿宋" w:hAnsi="仿宋" w:eastAsia="仿宋"/>
          <w:b w:val="0"/>
          <w:bCs/>
          <w:color w:val="auto"/>
          <w:sz w:val="32"/>
          <w:szCs w:val="32"/>
          <w:highlight w:val="none"/>
          <w:lang w:val="en-US" w:eastAsia="zh-CN"/>
        </w:rPr>
        <w:t>150.14</w:t>
      </w:r>
      <w:r>
        <w:rPr>
          <w:rFonts w:hint="eastAsia" w:ascii="仿宋" w:hAnsi="仿宋" w:eastAsia="仿宋"/>
          <w:b w:val="0"/>
          <w:bCs/>
          <w:color w:val="auto"/>
          <w:sz w:val="32"/>
          <w:szCs w:val="32"/>
          <w:highlight w:val="none"/>
        </w:rPr>
        <w:t>万元，占</w:t>
      </w:r>
      <w:r>
        <w:rPr>
          <w:rFonts w:hint="eastAsia" w:ascii="仿宋" w:hAnsi="仿宋" w:eastAsia="仿宋"/>
          <w:b w:val="0"/>
          <w:bCs/>
          <w:color w:val="auto"/>
          <w:sz w:val="32"/>
          <w:szCs w:val="32"/>
          <w:highlight w:val="none"/>
          <w:lang w:val="en-US" w:eastAsia="zh-CN"/>
        </w:rPr>
        <w:t>0.25</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；卫生健康支出</w:t>
      </w:r>
      <w:r>
        <w:rPr>
          <w:rFonts w:hint="eastAsia" w:ascii="仿宋" w:hAnsi="仿宋" w:eastAsia="仿宋"/>
          <w:b w:val="0"/>
          <w:bCs/>
          <w:color w:val="auto"/>
          <w:sz w:val="32"/>
          <w:szCs w:val="32"/>
          <w:highlight w:val="none"/>
          <w:lang w:eastAsia="zh-CN"/>
        </w:rPr>
        <w:t>（类）</w:t>
      </w:r>
      <w:r>
        <w:rPr>
          <w:rFonts w:hint="eastAsia" w:ascii="仿宋" w:hAnsi="仿宋" w:eastAsia="仿宋"/>
          <w:b w:val="0"/>
          <w:bCs/>
          <w:color w:val="auto"/>
          <w:sz w:val="32"/>
          <w:szCs w:val="32"/>
          <w:highlight w:val="none"/>
          <w:lang w:val="en-US" w:eastAsia="zh-CN"/>
        </w:rPr>
        <w:t>53.70</w:t>
      </w:r>
      <w:r>
        <w:rPr>
          <w:rFonts w:hint="eastAsia" w:ascii="仿宋" w:hAnsi="仿宋" w:eastAsia="仿宋"/>
          <w:b w:val="0"/>
          <w:bCs/>
          <w:color w:val="auto"/>
          <w:sz w:val="32"/>
          <w:szCs w:val="32"/>
          <w:highlight w:val="none"/>
        </w:rPr>
        <w:t>万元，占</w:t>
      </w:r>
      <w:r>
        <w:rPr>
          <w:rFonts w:hint="eastAsia" w:ascii="仿宋" w:hAnsi="仿宋" w:eastAsia="仿宋"/>
          <w:b w:val="0"/>
          <w:bCs/>
          <w:color w:val="auto"/>
          <w:sz w:val="32"/>
          <w:szCs w:val="32"/>
          <w:highlight w:val="none"/>
          <w:lang w:val="en-US" w:eastAsia="zh-CN"/>
        </w:rPr>
        <w:t>0.09</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；节能环保支出</w:t>
      </w:r>
      <w:r>
        <w:rPr>
          <w:rFonts w:hint="eastAsia" w:ascii="仿宋" w:hAnsi="仿宋" w:eastAsia="仿宋"/>
          <w:b w:val="0"/>
          <w:bCs/>
          <w:color w:val="auto"/>
          <w:sz w:val="32"/>
          <w:szCs w:val="32"/>
          <w:highlight w:val="none"/>
          <w:lang w:eastAsia="zh-CN"/>
        </w:rPr>
        <w:t>（类）</w:t>
      </w:r>
      <w:r>
        <w:rPr>
          <w:rFonts w:hint="eastAsia" w:ascii="仿宋" w:hAnsi="仿宋" w:eastAsia="仿宋"/>
          <w:b w:val="0"/>
          <w:bCs/>
          <w:color w:val="auto"/>
          <w:sz w:val="32"/>
          <w:szCs w:val="32"/>
          <w:highlight w:val="none"/>
          <w:lang w:val="en-US" w:eastAsia="zh-CN"/>
        </w:rPr>
        <w:t>37.86万元</w:t>
      </w:r>
      <w:r>
        <w:rPr>
          <w:rFonts w:hint="eastAsia" w:ascii="仿宋" w:hAnsi="仿宋" w:eastAsia="仿宋"/>
          <w:b w:val="0"/>
          <w:bCs/>
          <w:color w:val="auto"/>
          <w:sz w:val="32"/>
          <w:szCs w:val="32"/>
          <w:highlight w:val="none"/>
        </w:rPr>
        <w:t>，占</w:t>
      </w:r>
      <w:r>
        <w:rPr>
          <w:rFonts w:hint="eastAsia" w:ascii="仿宋" w:hAnsi="仿宋" w:eastAsia="仿宋"/>
          <w:b w:val="0"/>
          <w:bCs/>
          <w:color w:val="auto"/>
          <w:sz w:val="32"/>
          <w:szCs w:val="32"/>
          <w:highlight w:val="none"/>
          <w:lang w:val="en-US" w:eastAsia="zh-CN"/>
        </w:rPr>
        <w:t>0.06</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；农林水支出</w:t>
      </w:r>
      <w:r>
        <w:rPr>
          <w:rFonts w:hint="eastAsia" w:ascii="仿宋" w:hAnsi="仿宋" w:eastAsia="仿宋"/>
          <w:b w:val="0"/>
          <w:bCs/>
          <w:color w:val="auto"/>
          <w:sz w:val="32"/>
          <w:szCs w:val="32"/>
          <w:highlight w:val="none"/>
          <w:lang w:eastAsia="zh-CN"/>
        </w:rPr>
        <w:t>（类）53401.24万元，</w:t>
      </w:r>
      <w:r>
        <w:rPr>
          <w:rFonts w:hint="eastAsia" w:ascii="仿宋" w:hAnsi="仿宋" w:eastAsia="仿宋"/>
          <w:b w:val="0"/>
          <w:bCs/>
          <w:color w:val="auto"/>
          <w:sz w:val="32"/>
          <w:szCs w:val="32"/>
          <w:highlight w:val="none"/>
        </w:rPr>
        <w:t>占</w:t>
      </w:r>
      <w:r>
        <w:rPr>
          <w:rFonts w:hint="eastAsia" w:ascii="仿宋" w:hAnsi="仿宋" w:eastAsia="仿宋"/>
          <w:b w:val="0"/>
          <w:bCs/>
          <w:color w:val="auto"/>
          <w:sz w:val="32"/>
          <w:szCs w:val="32"/>
          <w:highlight w:val="none"/>
          <w:lang w:val="en-US" w:eastAsia="zh-CN"/>
        </w:rPr>
        <w:t>90.32</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lang w:eastAsia="zh-CN"/>
        </w:rPr>
        <w:t>，住房保障支出（类）59.8</w:t>
      </w:r>
      <w:r>
        <w:rPr>
          <w:rFonts w:hint="eastAsia" w:ascii="仿宋" w:hAnsi="仿宋" w:eastAsia="仿宋"/>
          <w:b w:val="0"/>
          <w:bCs/>
          <w:color w:val="auto"/>
          <w:sz w:val="32"/>
          <w:szCs w:val="32"/>
          <w:highlight w:val="none"/>
          <w:lang w:val="en-US" w:eastAsia="zh-CN"/>
        </w:rPr>
        <w:t>6</w:t>
      </w:r>
      <w:r>
        <w:rPr>
          <w:rFonts w:hint="eastAsia" w:ascii="仿宋" w:hAnsi="仿宋" w:eastAsia="仿宋"/>
          <w:b w:val="0"/>
          <w:bCs/>
          <w:color w:val="auto"/>
          <w:sz w:val="32"/>
          <w:szCs w:val="32"/>
          <w:highlight w:val="none"/>
          <w:lang w:eastAsia="zh-CN"/>
        </w:rPr>
        <w:t>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0.112</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val="0"/>
          <w:bCs/>
          <w:color w:val="auto"/>
          <w:sz w:val="32"/>
          <w:szCs w:val="32"/>
          <w:highlight w:val="none"/>
          <w:lang w:eastAsia="zh-CN"/>
        </w:rPr>
        <w:t>灾害防治及应急管理支出</w:t>
      </w:r>
      <w:r>
        <w:rPr>
          <w:rFonts w:hint="eastAsia" w:ascii="仿宋" w:hAnsi="仿宋" w:eastAsia="仿宋"/>
          <w:color w:val="auto"/>
          <w:sz w:val="32"/>
          <w:szCs w:val="32"/>
          <w:highlight w:val="none"/>
          <w:lang w:eastAsia="zh-CN"/>
        </w:rPr>
        <w:t>（类）297.19万元，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，其他支出（类）5118.09万元，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8.66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9"/>
        <w:pageBreakBefore w:val="0"/>
        <w:kinsoku/>
        <w:wordWrap/>
        <w:overflowPunct/>
        <w:topLinePunct w:val="0"/>
        <w:bidi w:val="0"/>
        <w:spacing w:line="520" w:lineRule="exact"/>
        <w:jc w:val="center"/>
      </w:pPr>
      <w:r>
        <w:drawing>
          <wp:anchor distT="0" distB="0" distL="114300" distR="114300" simplePos="0" relativeHeight="251665408" behindDoc="0" locked="0" layoutInCell="1" allowOverlap="1">
            <wp:simplePos x="0" y="0"/>
            <wp:positionH relativeFrom="column">
              <wp:posOffset>939165</wp:posOffset>
            </wp:positionH>
            <wp:positionV relativeFrom="paragraph">
              <wp:posOffset>32385</wp:posOffset>
            </wp:positionV>
            <wp:extent cx="3362960" cy="2219325"/>
            <wp:effectExtent l="4445" t="4445" r="23495" b="5080"/>
            <wp:wrapTopAndBottom/>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3" w:firstLineChars="200"/>
        <w:textAlignment w:val="auto"/>
        <w:outlineLvl w:val="2"/>
        <w:rPr>
          <w:rFonts w:ascii="仿宋" w:hAnsi="仿宋" w:eastAsia="仿宋"/>
          <w:b/>
          <w:color w:val="auto"/>
          <w:sz w:val="32"/>
          <w:szCs w:val="32"/>
          <w:highlight w:val="none"/>
        </w:rPr>
      </w:pPr>
      <w:bookmarkStart w:id="51" w:name="_Toc853078852"/>
      <w:bookmarkStart w:id="52" w:name="_Toc15377212"/>
      <w:r>
        <w:rPr>
          <w:rFonts w:hint="eastAsia" w:ascii="仿宋" w:hAnsi="仿宋" w:eastAsia="仿宋"/>
          <w:b/>
          <w:color w:val="auto"/>
          <w:sz w:val="32"/>
          <w:szCs w:val="32"/>
          <w:highlight w:val="none"/>
        </w:rPr>
        <w:t>（三）一般公共预算财政拨款支出决算具体情况</w:t>
      </w:r>
      <w:bookmarkEnd w:id="51"/>
      <w:bookmarkEnd w:id="52"/>
    </w:p>
    <w:p>
      <w:pPr>
        <w:pageBreakBefore w:val="0"/>
        <w:kinsoku/>
        <w:wordWrap/>
        <w:overflowPunct/>
        <w:topLinePunct w:val="0"/>
        <w:bidi w:val="0"/>
        <w:spacing w:line="520" w:lineRule="exact"/>
        <w:ind w:firstLine="643" w:firstLineChars="200"/>
        <w:outlineLvl w:val="9"/>
        <w:rPr>
          <w:rFonts w:ascii="仿宋" w:hAnsi="仿宋" w:eastAsia="仿宋"/>
          <w:color w:val="auto"/>
          <w:sz w:val="32"/>
          <w:szCs w:val="32"/>
          <w:highlight w:val="none"/>
        </w:rPr>
      </w:pPr>
      <w:bookmarkStart w:id="53" w:name="_Toc15377444"/>
      <w:bookmarkStart w:id="54" w:name="_Toc15378460"/>
      <w:bookmarkStart w:id="55"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bCs/>
          <w:color w:val="auto"/>
          <w:sz w:val="32"/>
          <w:szCs w:val="32"/>
          <w:highlight w:val="none"/>
        </w:rPr>
        <w:t>5</w:t>
      </w:r>
      <w:r>
        <w:rPr>
          <w:rFonts w:hint="eastAsia" w:ascii="仿宋" w:hAnsi="仿宋" w:eastAsia="仿宋"/>
          <w:b/>
          <w:color w:val="auto"/>
          <w:sz w:val="32"/>
          <w:szCs w:val="32"/>
          <w:highlight w:val="none"/>
        </w:rPr>
        <w:t>9123.08</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53.01</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53"/>
      <w:bookmarkEnd w:id="54"/>
      <w:bookmarkEnd w:id="55"/>
    </w:p>
    <w:p>
      <w:pPr>
        <w:pageBreakBefore w:val="0"/>
        <w:numPr>
          <w:ilvl w:val="0"/>
          <w:numId w:val="0"/>
        </w:numPr>
        <w:kinsoku/>
        <w:wordWrap/>
        <w:overflowPunct/>
        <w:topLinePunct w:val="0"/>
        <w:bidi w:val="0"/>
        <w:spacing w:line="520" w:lineRule="exact"/>
        <w:ind w:firstLine="643" w:firstLineChars="200"/>
        <w:rPr>
          <w:rFonts w:ascii="仿宋" w:hAnsi="仿宋" w:eastAsia="仿宋"/>
          <w:b/>
          <w:color w:val="auto"/>
          <w:sz w:val="32"/>
          <w:szCs w:val="32"/>
          <w:highlight w:val="none"/>
        </w:rPr>
      </w:pPr>
      <w:r>
        <w:rPr>
          <w:rStyle w:val="19"/>
          <w:rFonts w:hint="eastAsia" w:ascii="仿宋" w:hAnsi="仿宋" w:eastAsia="仿宋"/>
          <w:b/>
          <w:bCs/>
          <w:color w:val="auto"/>
          <w:sz w:val="32"/>
          <w:szCs w:val="32"/>
          <w:highlight w:val="none"/>
          <w:lang w:val="en-US" w:eastAsia="zh-CN"/>
        </w:rPr>
        <w:t>1.</w:t>
      </w:r>
      <w:r>
        <w:rPr>
          <w:rStyle w:val="19"/>
          <w:rFonts w:hint="eastAsia" w:ascii="仿宋" w:hAnsi="仿宋" w:eastAsia="仿宋"/>
          <w:b/>
          <w:bCs/>
          <w:color w:val="auto"/>
          <w:sz w:val="32"/>
          <w:szCs w:val="32"/>
          <w:highlight w:val="none"/>
        </w:rPr>
        <w:t>教育</w:t>
      </w:r>
      <w:r>
        <w:rPr>
          <w:rStyle w:val="19"/>
          <w:rFonts w:hint="eastAsia" w:ascii="仿宋" w:hAnsi="仿宋" w:eastAsia="仿宋"/>
          <w:b w:val="0"/>
          <w:bCs w:val="0"/>
          <w:color w:val="auto"/>
          <w:sz w:val="32"/>
          <w:szCs w:val="32"/>
          <w:highlight w:val="none"/>
        </w:rPr>
        <w:t>支</w:t>
      </w:r>
      <w:r>
        <w:rPr>
          <w:rStyle w:val="19"/>
          <w:rFonts w:hint="eastAsia" w:ascii="仿宋" w:hAnsi="仿宋" w:eastAsia="仿宋"/>
          <w:b w:val="0"/>
          <w:bCs/>
          <w:color w:val="auto"/>
          <w:sz w:val="32"/>
          <w:szCs w:val="32"/>
          <w:highlight w:val="none"/>
        </w:rPr>
        <w:t>出决算</w:t>
      </w:r>
      <w:r>
        <w:rPr>
          <w:rStyle w:val="19"/>
          <w:rFonts w:hint="eastAsia" w:ascii="仿宋" w:hAnsi="仿宋" w:eastAsia="仿宋"/>
          <w:b w:val="0"/>
          <w:bCs/>
          <w:color w:val="auto"/>
          <w:sz w:val="32"/>
          <w:szCs w:val="32"/>
          <w:highlight w:val="none"/>
          <w:lang w:eastAsia="zh-CN"/>
        </w:rPr>
        <w:t>数</w:t>
      </w:r>
      <w:r>
        <w:rPr>
          <w:rStyle w:val="19"/>
          <w:rFonts w:hint="eastAsia" w:ascii="仿宋" w:hAnsi="仿宋" w:eastAsia="仿宋"/>
          <w:b w:val="0"/>
          <w:bCs/>
          <w:color w:val="auto"/>
          <w:sz w:val="32"/>
          <w:szCs w:val="32"/>
          <w:highlight w:val="none"/>
        </w:rPr>
        <w:t>为</w:t>
      </w:r>
      <w:r>
        <w:rPr>
          <w:rStyle w:val="19"/>
          <w:rFonts w:hint="eastAsia" w:ascii="仿宋" w:hAnsi="仿宋" w:eastAsia="仿宋"/>
          <w:b w:val="0"/>
          <w:bCs/>
          <w:color w:val="auto"/>
          <w:sz w:val="32"/>
          <w:szCs w:val="32"/>
          <w:highlight w:val="none"/>
          <w:lang w:val="en-US" w:eastAsia="zh-CN"/>
        </w:rPr>
        <w:t>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pageBreakBefore w:val="0"/>
        <w:numPr>
          <w:ilvl w:val="0"/>
          <w:numId w:val="0"/>
        </w:numPr>
        <w:kinsoku/>
        <w:wordWrap/>
        <w:overflowPunct/>
        <w:topLinePunct w:val="0"/>
        <w:bidi w:val="0"/>
        <w:spacing w:line="520" w:lineRule="exact"/>
        <w:ind w:firstLine="643" w:firstLineChars="200"/>
        <w:rPr>
          <w:rFonts w:ascii="仿宋" w:hAnsi="仿宋" w:eastAsia="仿宋"/>
          <w:b/>
          <w:color w:val="auto"/>
          <w:sz w:val="32"/>
          <w:szCs w:val="32"/>
          <w:highlight w:val="none"/>
        </w:rPr>
      </w:pPr>
      <w:r>
        <w:rPr>
          <w:rStyle w:val="19"/>
          <w:rFonts w:hint="eastAsia" w:ascii="仿宋" w:hAnsi="仿宋" w:eastAsia="仿宋"/>
          <w:b/>
          <w:bCs/>
          <w:color w:val="000000"/>
          <w:sz w:val="32"/>
          <w:szCs w:val="32"/>
          <w:lang w:val="en-US" w:eastAsia="zh-CN"/>
        </w:rPr>
        <w:t>2.</w:t>
      </w:r>
      <w:r>
        <w:rPr>
          <w:rStyle w:val="19"/>
          <w:rFonts w:hint="eastAsia" w:ascii="仿宋" w:hAnsi="仿宋" w:eastAsia="仿宋"/>
          <w:b/>
          <w:bCs/>
          <w:color w:val="000000"/>
          <w:sz w:val="32"/>
          <w:szCs w:val="32"/>
        </w:rPr>
        <w:t>社会保</w:t>
      </w:r>
      <w:r>
        <w:rPr>
          <w:rStyle w:val="19"/>
          <w:rFonts w:hint="eastAsia" w:ascii="仿宋" w:hAnsi="仿宋" w:eastAsia="仿宋"/>
          <w:b/>
          <w:bCs/>
          <w:color w:val="auto"/>
          <w:sz w:val="32"/>
          <w:szCs w:val="32"/>
        </w:rPr>
        <w:t>障和就业</w:t>
      </w:r>
      <w:r>
        <w:rPr>
          <w:rStyle w:val="19"/>
          <w:rFonts w:hint="eastAsia" w:ascii="仿宋" w:hAnsi="仿宋" w:eastAsia="仿宋"/>
          <w:b w:val="0"/>
          <w:color w:val="auto"/>
          <w:sz w:val="32"/>
          <w:szCs w:val="32"/>
        </w:rPr>
        <w:t>支出决算</w:t>
      </w:r>
      <w:r>
        <w:rPr>
          <w:rStyle w:val="19"/>
          <w:rFonts w:hint="eastAsia" w:ascii="仿宋" w:hAnsi="仿宋" w:eastAsia="仿宋"/>
          <w:b w:val="0"/>
          <w:bCs/>
          <w:color w:val="auto"/>
          <w:sz w:val="32"/>
          <w:szCs w:val="32"/>
          <w:highlight w:val="none"/>
          <w:lang w:eastAsia="zh-CN"/>
        </w:rPr>
        <w:t>数</w:t>
      </w:r>
      <w:r>
        <w:rPr>
          <w:rStyle w:val="19"/>
          <w:rFonts w:hint="eastAsia" w:ascii="仿宋" w:hAnsi="仿宋" w:eastAsia="仿宋"/>
          <w:b w:val="0"/>
          <w:color w:val="auto"/>
          <w:sz w:val="32"/>
          <w:szCs w:val="32"/>
        </w:rPr>
        <w:t>为</w:t>
      </w:r>
      <w:r>
        <w:rPr>
          <w:rStyle w:val="19"/>
          <w:rFonts w:hint="eastAsia" w:ascii="仿宋" w:hAnsi="仿宋" w:eastAsia="仿宋"/>
          <w:b w:val="0"/>
          <w:color w:val="auto"/>
          <w:sz w:val="32"/>
          <w:szCs w:val="32"/>
          <w:lang w:val="en-US" w:eastAsia="zh-CN"/>
        </w:rPr>
        <w:t>150.14</w:t>
      </w:r>
      <w:r>
        <w:rPr>
          <w:rStyle w:val="19"/>
          <w:rFonts w:hint="eastAsia" w:ascii="仿宋" w:hAnsi="仿宋" w:eastAsia="仿宋"/>
          <w:b w:val="0"/>
          <w:color w:val="auto"/>
          <w:sz w:val="32"/>
          <w:szCs w:val="32"/>
        </w:rPr>
        <w:t>万</w:t>
      </w:r>
      <w:r>
        <w:rPr>
          <w:rStyle w:val="19"/>
          <w:rFonts w:hint="eastAsia" w:ascii="仿宋" w:hAnsi="仿宋" w:eastAsia="仿宋"/>
          <w:b w:val="0"/>
          <w:color w:val="auto"/>
          <w:sz w:val="32"/>
          <w:szCs w:val="32"/>
          <w:highlight w:val="none"/>
        </w:rPr>
        <w:t>元，完成预算</w:t>
      </w:r>
      <w:r>
        <w:rPr>
          <w:rStyle w:val="19"/>
          <w:rFonts w:hint="eastAsia" w:ascii="仿宋" w:hAnsi="仿宋" w:eastAsia="仿宋"/>
          <w:b w:val="0"/>
          <w:color w:val="auto"/>
          <w:sz w:val="32"/>
          <w:szCs w:val="32"/>
          <w:highlight w:val="none"/>
          <w:lang w:val="en-US" w:eastAsia="zh-CN"/>
        </w:rPr>
        <w:t>100</w:t>
      </w:r>
      <w:r>
        <w:rPr>
          <w:rStyle w:val="19"/>
          <w:rFonts w:ascii="仿宋" w:hAnsi="仿宋" w:eastAsia="仿宋"/>
          <w:b w:val="0"/>
          <w:color w:val="auto"/>
          <w:sz w:val="32"/>
          <w:szCs w:val="32"/>
          <w:highlight w:val="none"/>
        </w:rPr>
        <w:t>%</w:t>
      </w:r>
      <w:r>
        <w:rPr>
          <w:rStyle w:val="19"/>
          <w:rFonts w:hint="eastAsia" w:ascii="仿宋" w:hAnsi="仿宋" w:eastAsia="仿宋"/>
          <w:b w:val="0"/>
          <w:color w:val="auto"/>
          <w:sz w:val="32"/>
          <w:szCs w:val="32"/>
          <w:highlight w:val="none"/>
        </w:rPr>
        <w:t>，其中人力资</w:t>
      </w:r>
      <w:r>
        <w:rPr>
          <w:rStyle w:val="19"/>
          <w:rFonts w:hint="eastAsia" w:ascii="仿宋" w:hAnsi="仿宋" w:eastAsia="仿宋"/>
          <w:b w:val="0"/>
          <w:color w:val="000000"/>
          <w:sz w:val="32"/>
          <w:szCs w:val="32"/>
          <w:highlight w:val="none"/>
        </w:rPr>
        <w:t>源和社会保障管理事务</w:t>
      </w:r>
      <w:r>
        <w:rPr>
          <w:rStyle w:val="19"/>
          <w:rFonts w:hint="eastAsia" w:ascii="仿宋" w:hAnsi="仿宋" w:eastAsia="仿宋"/>
          <w:b w:val="0"/>
          <w:color w:val="000000"/>
          <w:sz w:val="32"/>
          <w:szCs w:val="32"/>
          <w:highlight w:val="none"/>
          <w:lang w:eastAsia="zh-CN"/>
        </w:rPr>
        <w:t>支出</w:t>
      </w:r>
      <w:r>
        <w:rPr>
          <w:rStyle w:val="19"/>
          <w:rFonts w:hint="eastAsia" w:ascii="仿宋" w:hAnsi="仿宋" w:eastAsia="仿宋"/>
          <w:b w:val="0"/>
          <w:color w:val="000000"/>
          <w:sz w:val="32"/>
          <w:szCs w:val="32"/>
          <w:highlight w:val="none"/>
          <w:lang w:val="en-US" w:eastAsia="zh-CN"/>
        </w:rPr>
        <w:t>36.8万元，完成预算100%，</w:t>
      </w:r>
      <w:r>
        <w:rPr>
          <w:rStyle w:val="19"/>
          <w:rFonts w:hint="eastAsia" w:ascii="仿宋" w:hAnsi="仿宋" w:eastAsia="仿宋"/>
          <w:b w:val="0"/>
          <w:color w:val="000000"/>
          <w:sz w:val="32"/>
          <w:szCs w:val="32"/>
          <w:highlight w:val="none"/>
        </w:rPr>
        <w:t>行政事业单位养老支出</w:t>
      </w:r>
      <w:r>
        <w:rPr>
          <w:rStyle w:val="19"/>
          <w:rFonts w:hint="eastAsia" w:ascii="仿宋" w:hAnsi="仿宋" w:eastAsia="仿宋"/>
          <w:b w:val="0"/>
          <w:color w:val="000000"/>
          <w:sz w:val="32"/>
          <w:szCs w:val="32"/>
          <w:highlight w:val="none"/>
          <w:lang w:val="en-US" w:eastAsia="zh-CN"/>
        </w:rPr>
        <w:t>108.9</w:t>
      </w:r>
      <w:r>
        <w:rPr>
          <w:rStyle w:val="19"/>
          <w:rFonts w:hint="eastAsia" w:ascii="仿宋" w:hAnsi="仿宋" w:eastAsia="仿宋"/>
          <w:b w:val="0"/>
          <w:color w:val="000000"/>
          <w:sz w:val="32"/>
          <w:szCs w:val="32"/>
          <w:highlight w:val="none"/>
        </w:rPr>
        <w:t>万元，完成预算100</w:t>
      </w:r>
      <w:r>
        <w:rPr>
          <w:rStyle w:val="19"/>
          <w:rFonts w:ascii="仿宋" w:hAnsi="仿宋" w:eastAsia="仿宋"/>
          <w:b w:val="0"/>
          <w:color w:val="000000"/>
          <w:sz w:val="32"/>
          <w:szCs w:val="32"/>
          <w:highlight w:val="none"/>
        </w:rPr>
        <w:t>%</w:t>
      </w:r>
      <w:r>
        <w:rPr>
          <w:rStyle w:val="19"/>
          <w:rFonts w:hint="eastAsia" w:ascii="仿宋" w:hAnsi="仿宋" w:eastAsia="仿宋"/>
          <w:b w:val="0"/>
          <w:color w:val="000000"/>
          <w:sz w:val="32"/>
          <w:szCs w:val="32"/>
          <w:highlight w:val="none"/>
        </w:rPr>
        <w:t>，抚恤支出</w:t>
      </w:r>
      <w:r>
        <w:rPr>
          <w:rStyle w:val="19"/>
          <w:rFonts w:hint="eastAsia" w:ascii="仿宋" w:hAnsi="仿宋" w:eastAsia="仿宋"/>
          <w:b w:val="0"/>
          <w:color w:val="000000"/>
          <w:sz w:val="32"/>
          <w:szCs w:val="32"/>
          <w:highlight w:val="none"/>
          <w:lang w:val="en-US" w:eastAsia="zh-CN"/>
        </w:rPr>
        <w:t>4.44</w:t>
      </w:r>
      <w:r>
        <w:rPr>
          <w:rStyle w:val="19"/>
          <w:rFonts w:hint="eastAsia" w:ascii="仿宋" w:hAnsi="仿宋" w:eastAsia="仿宋"/>
          <w:b w:val="0"/>
          <w:color w:val="000000"/>
          <w:sz w:val="32"/>
          <w:szCs w:val="32"/>
          <w:highlight w:val="none"/>
        </w:rPr>
        <w:t>万元，完成预算100</w:t>
      </w:r>
      <w:r>
        <w:rPr>
          <w:rStyle w:val="19"/>
          <w:rFonts w:ascii="仿宋" w:hAnsi="仿宋" w:eastAsia="仿宋"/>
          <w:b w:val="0"/>
          <w:color w:val="000000"/>
          <w:sz w:val="32"/>
          <w:szCs w:val="32"/>
          <w:highlight w:val="none"/>
        </w:rPr>
        <w:t>%</w:t>
      </w:r>
      <w:r>
        <w:rPr>
          <w:rStyle w:val="19"/>
          <w:rFonts w:hint="eastAsia" w:ascii="仿宋" w:hAnsi="仿宋" w:eastAsia="仿宋"/>
          <w:b w:val="0"/>
          <w:color w:val="000000"/>
          <w:sz w:val="32"/>
          <w:szCs w:val="32"/>
          <w:highlight w:val="none"/>
        </w:rPr>
        <w:t>。</w:t>
      </w:r>
    </w:p>
    <w:p>
      <w:pPr>
        <w:pageBreakBefore w:val="0"/>
        <w:numPr>
          <w:ilvl w:val="0"/>
          <w:numId w:val="0"/>
        </w:numPr>
        <w:kinsoku/>
        <w:wordWrap/>
        <w:overflowPunct/>
        <w:topLinePunct w:val="0"/>
        <w:bidi w:val="0"/>
        <w:spacing w:line="52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3.</w:t>
      </w:r>
      <w:r>
        <w:rPr>
          <w:rFonts w:hint="eastAsia" w:ascii="仿宋" w:hAnsi="仿宋" w:eastAsia="仿宋"/>
          <w:b/>
          <w:bCs/>
          <w:color w:val="auto"/>
          <w:sz w:val="32"/>
          <w:szCs w:val="32"/>
          <w:highlight w:val="none"/>
        </w:rPr>
        <w:t>卫生健康</w:t>
      </w:r>
      <w:r>
        <w:rPr>
          <w:rFonts w:hint="eastAsia" w:ascii="仿宋" w:hAnsi="仿宋" w:eastAsia="仿宋"/>
          <w:b w:val="0"/>
          <w:bCs w:val="0"/>
          <w:color w:val="auto"/>
          <w:sz w:val="32"/>
          <w:szCs w:val="32"/>
          <w:highlight w:val="none"/>
          <w:lang w:eastAsia="zh-CN"/>
        </w:rPr>
        <w:t>支出决算</w:t>
      </w:r>
      <w:r>
        <w:rPr>
          <w:rFonts w:hint="eastAsia" w:ascii="仿宋" w:hAnsi="仿宋" w:eastAsia="仿宋"/>
          <w:b w:val="0"/>
          <w:bCs w:val="0"/>
          <w:color w:val="auto"/>
          <w:sz w:val="32"/>
          <w:szCs w:val="32"/>
          <w:highlight w:val="none"/>
          <w:lang w:val="en-US" w:eastAsia="zh-CN"/>
        </w:rPr>
        <w:t>53.70万元，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pageBreakBefore w:val="0"/>
        <w:numPr>
          <w:ilvl w:val="0"/>
          <w:numId w:val="0"/>
        </w:numPr>
        <w:kinsoku/>
        <w:wordWrap/>
        <w:overflowPunct/>
        <w:topLinePunct w:val="0"/>
        <w:bidi w:val="0"/>
        <w:spacing w:line="520" w:lineRule="exact"/>
        <w:ind w:firstLine="643" w:firstLineChars="200"/>
        <w:rPr>
          <w:rFonts w:hint="default" w:ascii="仿宋" w:hAnsi="仿宋" w:eastAsia="仿宋"/>
          <w:b/>
          <w:color w:val="auto"/>
          <w:sz w:val="32"/>
          <w:szCs w:val="32"/>
          <w:highlight w:val="none"/>
          <w:lang w:val="en-US" w:eastAsia="zh-CN"/>
        </w:rPr>
      </w:pPr>
      <w:r>
        <w:rPr>
          <w:rStyle w:val="19"/>
          <w:rFonts w:hint="eastAsia" w:ascii="仿宋" w:hAnsi="仿宋" w:eastAsia="仿宋"/>
          <w:b/>
          <w:bCs/>
          <w:color w:val="000000"/>
          <w:sz w:val="32"/>
          <w:szCs w:val="32"/>
          <w:lang w:val="en-US" w:eastAsia="zh-CN"/>
        </w:rPr>
        <w:t>4.</w:t>
      </w:r>
      <w:r>
        <w:rPr>
          <w:rStyle w:val="19"/>
          <w:rFonts w:hint="eastAsia" w:ascii="仿宋" w:hAnsi="仿宋" w:eastAsia="仿宋"/>
          <w:b/>
          <w:bCs/>
          <w:color w:val="000000"/>
          <w:sz w:val="32"/>
          <w:szCs w:val="32"/>
        </w:rPr>
        <w:t>节能环保</w:t>
      </w:r>
      <w:r>
        <w:rPr>
          <w:rStyle w:val="19"/>
          <w:rFonts w:hint="eastAsia" w:ascii="仿宋" w:hAnsi="仿宋" w:eastAsia="仿宋"/>
          <w:b w:val="0"/>
          <w:color w:val="000000"/>
          <w:sz w:val="32"/>
          <w:szCs w:val="32"/>
        </w:rPr>
        <w:t>支出</w:t>
      </w:r>
      <w:r>
        <w:rPr>
          <w:rStyle w:val="19"/>
          <w:rFonts w:hint="eastAsia" w:ascii="仿宋" w:hAnsi="仿宋" w:eastAsia="仿宋"/>
          <w:b w:val="0"/>
          <w:color w:val="000000"/>
          <w:sz w:val="32"/>
          <w:szCs w:val="32"/>
          <w:lang w:eastAsia="zh-CN"/>
        </w:rPr>
        <w:t>决算</w:t>
      </w:r>
      <w:r>
        <w:rPr>
          <w:rStyle w:val="19"/>
          <w:rFonts w:hint="eastAsia" w:ascii="仿宋" w:hAnsi="仿宋" w:eastAsia="仿宋"/>
          <w:b w:val="0"/>
          <w:color w:val="000000"/>
          <w:sz w:val="32"/>
          <w:szCs w:val="32"/>
        </w:rPr>
        <w:t>均为污染防治支出，支出决算为</w:t>
      </w:r>
      <w:r>
        <w:rPr>
          <w:rStyle w:val="19"/>
          <w:rFonts w:hint="eastAsia" w:ascii="仿宋" w:hAnsi="仿宋" w:eastAsia="仿宋"/>
          <w:b w:val="0"/>
          <w:color w:val="000000"/>
          <w:sz w:val="32"/>
          <w:szCs w:val="32"/>
          <w:lang w:val="en-US" w:eastAsia="zh-CN"/>
        </w:rPr>
        <w:t>37.86</w:t>
      </w:r>
      <w:r>
        <w:rPr>
          <w:rStyle w:val="19"/>
          <w:rFonts w:hint="eastAsia" w:ascii="仿宋" w:hAnsi="仿宋" w:eastAsia="仿宋"/>
          <w:b w:val="0"/>
          <w:color w:val="000000"/>
          <w:sz w:val="32"/>
          <w:szCs w:val="32"/>
          <w:highlight w:val="none"/>
        </w:rPr>
        <w:t>万元，完成预算</w:t>
      </w:r>
      <w:r>
        <w:rPr>
          <w:rStyle w:val="19"/>
          <w:rFonts w:hint="eastAsia" w:ascii="仿宋" w:hAnsi="仿宋" w:eastAsia="仿宋"/>
          <w:b w:val="0"/>
          <w:color w:val="000000"/>
          <w:sz w:val="32"/>
          <w:szCs w:val="32"/>
          <w:highlight w:val="none"/>
          <w:lang w:val="en-US" w:eastAsia="zh-CN"/>
        </w:rPr>
        <w:t>100</w:t>
      </w:r>
      <w:r>
        <w:rPr>
          <w:rStyle w:val="19"/>
          <w:rFonts w:ascii="仿宋" w:hAnsi="仿宋" w:eastAsia="仿宋"/>
          <w:b w:val="0"/>
          <w:color w:val="000000"/>
          <w:sz w:val="32"/>
          <w:szCs w:val="32"/>
          <w:highlight w:val="none"/>
        </w:rPr>
        <w:t>%</w:t>
      </w:r>
      <w:r>
        <w:rPr>
          <w:rStyle w:val="19"/>
          <w:rFonts w:hint="eastAsia" w:ascii="仿宋" w:hAnsi="仿宋" w:eastAsia="仿宋"/>
          <w:b w:val="0"/>
          <w:color w:val="000000"/>
          <w:sz w:val="32"/>
          <w:szCs w:val="32"/>
          <w:highlight w:val="none"/>
        </w:rPr>
        <w:t>。</w:t>
      </w:r>
    </w:p>
    <w:p>
      <w:pPr>
        <w:pageBreakBefore w:val="0"/>
        <w:numPr>
          <w:ilvl w:val="0"/>
          <w:numId w:val="0"/>
        </w:numPr>
        <w:kinsoku/>
        <w:wordWrap/>
        <w:overflowPunct/>
        <w:topLinePunct w:val="0"/>
        <w:bidi w:val="0"/>
        <w:spacing w:line="520" w:lineRule="exact"/>
        <w:ind w:firstLine="643" w:firstLineChars="200"/>
        <w:jc w:val="both"/>
        <w:rPr>
          <w:rFonts w:hint="eastAsia" w:ascii="仿宋" w:hAnsi="仿宋" w:eastAsia="仿宋"/>
          <w:color w:val="FF0000"/>
          <w:sz w:val="32"/>
          <w:szCs w:val="32"/>
          <w:highlight w:val="none"/>
          <w:lang w:val="en-US" w:eastAsia="zh-CN"/>
        </w:rPr>
      </w:pPr>
      <w:r>
        <w:rPr>
          <w:rFonts w:hint="eastAsia" w:ascii="仿宋" w:hAnsi="仿宋" w:eastAsia="仿宋"/>
          <w:b/>
          <w:bCs/>
          <w:color w:val="auto"/>
          <w:sz w:val="32"/>
          <w:szCs w:val="32"/>
          <w:highlight w:val="none"/>
          <w:lang w:val="en-US" w:eastAsia="zh-CN"/>
        </w:rPr>
        <w:t>5.农林水支</w:t>
      </w:r>
      <w:r>
        <w:rPr>
          <w:rFonts w:hint="eastAsia" w:ascii="仿宋" w:hAnsi="仿宋" w:eastAsia="仿宋"/>
          <w:color w:val="auto"/>
          <w:sz w:val="32"/>
          <w:szCs w:val="32"/>
          <w:highlight w:val="none"/>
          <w:lang w:val="en-US" w:eastAsia="zh-CN"/>
        </w:rPr>
        <w:t>出决算为53401.24万元，完成预算55%，其中：</w:t>
      </w:r>
      <w:r>
        <w:rPr>
          <w:rFonts w:hint="eastAsia" w:ascii="仿宋" w:hAnsi="仿宋" w:eastAsia="仿宋"/>
          <w:b/>
          <w:bCs/>
          <w:color w:val="auto"/>
          <w:sz w:val="32"/>
          <w:szCs w:val="32"/>
          <w:highlight w:val="none"/>
          <w:lang w:val="en-US" w:eastAsia="zh-CN"/>
        </w:rPr>
        <w:t>行政运行</w:t>
      </w:r>
      <w:r>
        <w:rPr>
          <w:rFonts w:hint="eastAsia" w:ascii="仿宋" w:hAnsi="仿宋" w:eastAsia="仿宋"/>
          <w:color w:val="auto"/>
          <w:sz w:val="32"/>
          <w:szCs w:val="32"/>
          <w:highlight w:val="none"/>
          <w:lang w:val="en-US" w:eastAsia="zh-CN"/>
        </w:rPr>
        <w:t>支出决算为615.53万元，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99.89%；</w:t>
      </w:r>
      <w:r>
        <w:rPr>
          <w:rFonts w:hint="eastAsia" w:ascii="仿宋" w:hAnsi="仿宋" w:eastAsia="仿宋"/>
          <w:b/>
          <w:bCs/>
          <w:color w:val="auto"/>
          <w:sz w:val="32"/>
          <w:szCs w:val="32"/>
          <w:highlight w:val="none"/>
          <w:lang w:val="en-US" w:eastAsia="zh-CN"/>
        </w:rPr>
        <w:t>一般行政管理事务</w:t>
      </w:r>
      <w:r>
        <w:rPr>
          <w:rFonts w:hint="eastAsia" w:ascii="仿宋" w:hAnsi="仿宋" w:eastAsia="仿宋"/>
          <w:color w:val="auto"/>
          <w:sz w:val="32"/>
          <w:szCs w:val="32"/>
          <w:highlight w:val="none"/>
          <w:lang w:val="en-US" w:eastAsia="zh-CN"/>
        </w:rPr>
        <w:t>支出决算为63.3万元，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000000" w:themeColor="text1"/>
          <w:sz w:val="32"/>
          <w:szCs w:val="32"/>
          <w:highlight w:val="none"/>
          <w:lang w:val="en-US" w:eastAsia="zh-CN"/>
          <w14:textFill>
            <w14:solidFill>
              <w14:schemeClr w14:val="tx1"/>
            </w14:solidFill>
          </w14:textFill>
        </w:rPr>
        <w:t>水利工程建设</w:t>
      </w:r>
      <w:r>
        <w:rPr>
          <w:rFonts w:hint="eastAsia" w:ascii="仿宋" w:hAnsi="仿宋" w:eastAsia="仿宋"/>
          <w:color w:val="000000" w:themeColor="text1"/>
          <w:sz w:val="32"/>
          <w:szCs w:val="32"/>
          <w:highlight w:val="none"/>
          <w:lang w:val="en-US" w:eastAsia="zh-CN"/>
          <w14:textFill>
            <w14:solidFill>
              <w14:schemeClr w14:val="tx1"/>
            </w14:solidFill>
          </w14:textFill>
        </w:rPr>
        <w:t>支出决算为16597.27万元，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27.94%，决算数小于预算数系化成水库运行保护中心</w:t>
      </w:r>
      <w:r>
        <w:rPr>
          <w:rStyle w:val="19"/>
          <w:rFonts w:hint="eastAsia" w:ascii="仿宋" w:hAnsi="仿宋" w:eastAsia="仿宋"/>
          <w:b w:val="0"/>
          <w:bCs/>
          <w:color w:val="auto"/>
          <w:sz w:val="32"/>
          <w:szCs w:val="32"/>
          <w:highlight w:val="none"/>
          <w:lang w:eastAsia="zh-CN"/>
        </w:rPr>
        <w:t>中灌项目和水利灾害恢复项目未实施完毕，江家口水库</w:t>
      </w:r>
      <w:r>
        <w:rPr>
          <w:rStyle w:val="19"/>
          <w:rFonts w:hint="eastAsia" w:ascii="仿宋" w:hAnsi="仿宋" w:eastAsia="仿宋" w:cs="Times New Roman"/>
          <w:b w:val="0"/>
          <w:bCs/>
          <w:color w:val="auto"/>
          <w:sz w:val="32"/>
          <w:szCs w:val="32"/>
          <w:highlight w:val="none"/>
          <w:lang w:val="en-US" w:eastAsia="zh-CN"/>
        </w:rPr>
        <w:t>进入建设阶段，参建各方进场施工，仅按合同约定支付部分预付款</w:t>
      </w:r>
      <w:r>
        <w:rPr>
          <w:rStyle w:val="19"/>
          <w:rFonts w:hint="eastAsia" w:ascii="仿宋" w:hAnsi="仿宋" w:eastAsia="仿宋"/>
          <w:b w:val="0"/>
          <w:color w:val="000000" w:themeColor="text1"/>
          <w:sz w:val="32"/>
          <w:szCs w:val="32"/>
          <w:lang w:val="en-US" w:eastAsia="zh-CN"/>
          <w14:textFill>
            <w14:solidFill>
              <w14:schemeClr w14:val="tx1"/>
            </w14:solidFill>
          </w14:textFill>
        </w:rPr>
        <w:t>；</w:t>
      </w:r>
      <w:r>
        <w:rPr>
          <w:rFonts w:hint="eastAsia" w:ascii="仿宋" w:hAnsi="仿宋" w:eastAsia="仿宋"/>
          <w:b/>
          <w:bCs/>
          <w:color w:val="auto"/>
          <w:sz w:val="32"/>
          <w:szCs w:val="32"/>
          <w:highlight w:val="none"/>
          <w:lang w:val="en-US" w:eastAsia="zh-CN"/>
        </w:rPr>
        <w:t>水利工程运行与维护</w:t>
      </w:r>
      <w:r>
        <w:rPr>
          <w:rFonts w:hint="eastAsia" w:ascii="仿宋" w:hAnsi="仿宋" w:eastAsia="仿宋"/>
          <w:color w:val="auto"/>
          <w:sz w:val="32"/>
          <w:szCs w:val="32"/>
          <w:highlight w:val="none"/>
          <w:lang w:val="en-US" w:eastAsia="zh-CN"/>
        </w:rPr>
        <w:t>支出决算为246.97万元，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99.28%；</w:t>
      </w:r>
      <w:r>
        <w:rPr>
          <w:rFonts w:hint="eastAsia" w:ascii="仿宋" w:hAnsi="仿宋" w:eastAsia="仿宋"/>
          <w:b/>
          <w:bCs/>
          <w:color w:val="auto"/>
          <w:sz w:val="32"/>
          <w:szCs w:val="32"/>
          <w:highlight w:val="none"/>
          <w:lang w:val="en-US" w:eastAsia="zh-CN"/>
        </w:rPr>
        <w:t>水利执法</w:t>
      </w:r>
      <w:r>
        <w:rPr>
          <w:rFonts w:hint="eastAsia" w:ascii="仿宋" w:hAnsi="仿宋" w:eastAsia="仿宋"/>
          <w:b w:val="0"/>
          <w:bCs w:val="0"/>
          <w:color w:val="auto"/>
          <w:sz w:val="32"/>
          <w:szCs w:val="32"/>
          <w:highlight w:val="none"/>
          <w:lang w:val="en-US" w:eastAsia="zh-CN"/>
        </w:rPr>
        <w:t>监督支出</w:t>
      </w:r>
      <w:r>
        <w:rPr>
          <w:rFonts w:hint="eastAsia" w:ascii="仿宋" w:hAnsi="仿宋" w:eastAsia="仿宋"/>
          <w:color w:val="auto"/>
          <w:sz w:val="32"/>
          <w:szCs w:val="32"/>
          <w:highlight w:val="none"/>
          <w:lang w:val="en-US" w:eastAsia="zh-CN"/>
        </w:rPr>
        <w:t>决算为16万元，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水土保持</w:t>
      </w:r>
      <w:r>
        <w:rPr>
          <w:rFonts w:hint="eastAsia" w:ascii="仿宋" w:hAnsi="仿宋" w:eastAsia="仿宋"/>
          <w:color w:val="auto"/>
          <w:sz w:val="32"/>
          <w:szCs w:val="32"/>
          <w:highlight w:val="none"/>
          <w:lang w:val="en-US" w:eastAsia="zh-CN"/>
        </w:rPr>
        <w:t>支出决算为47万元，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水资源节约管理与保护</w:t>
      </w:r>
      <w:r>
        <w:rPr>
          <w:rFonts w:hint="eastAsia" w:ascii="仿宋" w:hAnsi="仿宋" w:eastAsia="仿宋"/>
          <w:color w:val="auto"/>
          <w:sz w:val="32"/>
          <w:szCs w:val="32"/>
          <w:highlight w:val="none"/>
          <w:lang w:val="en-US" w:eastAsia="zh-CN"/>
        </w:rPr>
        <w:t>支出决算为267.69万元，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99.57%，决算数与预算数大体持平；</w:t>
      </w:r>
      <w:r>
        <w:rPr>
          <w:rFonts w:hint="eastAsia" w:ascii="仿宋" w:hAnsi="仿宋" w:eastAsia="仿宋"/>
          <w:b/>
          <w:bCs/>
          <w:color w:val="auto"/>
          <w:sz w:val="32"/>
          <w:szCs w:val="32"/>
          <w:highlight w:val="none"/>
          <w:lang w:val="en-US" w:eastAsia="zh-CN"/>
        </w:rPr>
        <w:t>水质监测</w:t>
      </w:r>
      <w:r>
        <w:rPr>
          <w:rFonts w:hint="eastAsia" w:ascii="仿宋" w:hAnsi="仿宋" w:eastAsia="仿宋"/>
          <w:color w:val="auto"/>
          <w:sz w:val="32"/>
          <w:szCs w:val="32"/>
          <w:highlight w:val="none"/>
          <w:lang w:val="en-US" w:eastAsia="zh-CN"/>
        </w:rPr>
        <w:t>支出决算为10万元，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防汛</w:t>
      </w:r>
      <w:r>
        <w:rPr>
          <w:rFonts w:hint="eastAsia" w:ascii="仿宋" w:hAnsi="仿宋" w:eastAsia="仿宋"/>
          <w:color w:val="auto"/>
          <w:sz w:val="32"/>
          <w:szCs w:val="32"/>
          <w:highlight w:val="none"/>
          <w:lang w:val="en-US" w:eastAsia="zh-CN"/>
        </w:rPr>
        <w:t>支出决算为108.53万元，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40.47%，决算数小于预算数系柳津湖运行保护中心2021年水毁资金项目，主要用于2021年汛期水毁的河道堤防等修复项目，此项目通过制订水毁修复方案、报财政评审、报政府采购平台审查、招标采购等程序，再按工程进度进行结算，故未能在2021年内支付完费用；</w:t>
      </w:r>
      <w:r>
        <w:rPr>
          <w:rFonts w:hint="eastAsia" w:ascii="仿宋" w:hAnsi="仿宋" w:eastAsia="仿宋"/>
          <w:b/>
          <w:bCs/>
          <w:color w:val="auto"/>
          <w:sz w:val="32"/>
          <w:szCs w:val="32"/>
          <w:highlight w:val="none"/>
          <w:lang w:val="en-US" w:eastAsia="zh-CN"/>
        </w:rPr>
        <w:t>农村水利</w:t>
      </w:r>
      <w:r>
        <w:rPr>
          <w:rFonts w:hint="eastAsia" w:ascii="仿宋" w:hAnsi="仿宋" w:eastAsia="仿宋"/>
          <w:color w:val="auto"/>
          <w:sz w:val="32"/>
          <w:szCs w:val="32"/>
          <w:highlight w:val="none"/>
          <w:lang w:val="en-US" w:eastAsia="zh-CN"/>
        </w:rPr>
        <w:t>支出决算为219万元，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江河湖库水系综合整治</w:t>
      </w:r>
      <w:r>
        <w:rPr>
          <w:rFonts w:hint="eastAsia" w:ascii="仿宋" w:hAnsi="仿宋" w:eastAsia="仿宋"/>
          <w:color w:val="auto"/>
          <w:sz w:val="32"/>
          <w:szCs w:val="32"/>
          <w:highlight w:val="none"/>
          <w:lang w:val="en-US" w:eastAsia="zh-CN"/>
        </w:rPr>
        <w:t>支出决算为73.89万元，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93.87%，决算数小于预算数系部分合同尚未达到支付条件；</w:t>
      </w:r>
      <w:r>
        <w:rPr>
          <w:rFonts w:hint="eastAsia" w:ascii="仿宋" w:hAnsi="仿宋" w:eastAsia="仿宋"/>
          <w:b/>
          <w:bCs/>
          <w:color w:val="auto"/>
          <w:sz w:val="32"/>
          <w:szCs w:val="32"/>
          <w:highlight w:val="none"/>
          <w:lang w:val="en-US" w:eastAsia="zh-CN"/>
        </w:rPr>
        <w:t>水利安全监督</w:t>
      </w:r>
      <w:r>
        <w:rPr>
          <w:rFonts w:hint="eastAsia" w:ascii="仿宋" w:hAnsi="仿宋" w:eastAsia="仿宋"/>
          <w:color w:val="auto"/>
          <w:sz w:val="32"/>
          <w:szCs w:val="32"/>
          <w:highlight w:val="none"/>
          <w:lang w:val="en-US" w:eastAsia="zh-CN"/>
        </w:rPr>
        <w:t>支出决算为107.15万元，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75.51%，决算数小于预算数系部分业务合同尚未达到支付条件；</w:t>
      </w:r>
      <w:r>
        <w:rPr>
          <w:rFonts w:hint="eastAsia" w:ascii="仿宋" w:hAnsi="仿宋" w:eastAsia="仿宋"/>
          <w:b/>
          <w:bCs/>
          <w:color w:val="auto"/>
          <w:sz w:val="32"/>
          <w:szCs w:val="32"/>
          <w:highlight w:val="none"/>
          <w:lang w:val="en-US" w:eastAsia="zh-CN"/>
        </w:rPr>
        <w:t>其他水利支出</w:t>
      </w:r>
      <w:r>
        <w:rPr>
          <w:rFonts w:hint="eastAsia" w:ascii="仿宋" w:hAnsi="仿宋" w:eastAsia="仿宋"/>
          <w:color w:val="auto"/>
          <w:sz w:val="32"/>
          <w:szCs w:val="32"/>
          <w:highlight w:val="none"/>
          <w:lang w:val="en-US" w:eastAsia="zh-CN"/>
        </w:rPr>
        <w:t>支出决算为185.19万元，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99.62%，决算数与预算数大体持平；</w:t>
      </w:r>
      <w:r>
        <w:rPr>
          <w:rFonts w:hint="eastAsia" w:ascii="仿宋" w:hAnsi="仿宋" w:eastAsia="仿宋"/>
          <w:b/>
          <w:bCs/>
          <w:color w:val="auto"/>
          <w:sz w:val="32"/>
          <w:szCs w:val="32"/>
          <w:highlight w:val="none"/>
          <w:lang w:val="en-US" w:eastAsia="zh-CN"/>
        </w:rPr>
        <w:t>其他农林水支出</w:t>
      </w:r>
      <w:r>
        <w:rPr>
          <w:rFonts w:hint="eastAsia" w:ascii="仿宋" w:hAnsi="仿宋" w:eastAsia="仿宋"/>
          <w:color w:val="auto"/>
          <w:sz w:val="32"/>
          <w:szCs w:val="32"/>
          <w:highlight w:val="none"/>
          <w:lang w:val="en-US" w:eastAsia="zh-CN"/>
        </w:rPr>
        <w:t>支出决算为34843.72万元,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99.55%，决算数与预算数大体持平</w:t>
      </w:r>
      <w:r>
        <w:rPr>
          <w:rFonts w:hint="eastAsia" w:ascii="仿宋" w:hAnsi="仿宋" w:eastAsia="仿宋"/>
          <w:color w:val="auto"/>
          <w:sz w:val="32"/>
          <w:szCs w:val="32"/>
          <w:highlight w:val="none"/>
          <w:lang w:val="en-US" w:eastAsia="zh-CN"/>
        </w:rPr>
        <w:t>。</w:t>
      </w:r>
    </w:p>
    <w:p>
      <w:pPr>
        <w:pStyle w:val="9"/>
        <w:pageBreakBefore w:val="0"/>
        <w:numPr>
          <w:ilvl w:val="0"/>
          <w:numId w:val="0"/>
        </w:numPr>
        <w:kinsoku/>
        <w:wordWrap/>
        <w:overflowPunct/>
        <w:topLinePunct w:val="0"/>
        <w:bidi w:val="0"/>
        <w:spacing w:line="520" w:lineRule="exact"/>
        <w:ind w:firstLine="602" w:firstLineChars="200"/>
        <w:rPr>
          <w:rFonts w:hint="default"/>
          <w:lang w:val="en-US" w:eastAsia="zh-CN"/>
        </w:rPr>
      </w:pPr>
      <w:r>
        <w:rPr>
          <w:rFonts w:hint="eastAsia"/>
          <w:b/>
          <w:bCs/>
          <w:lang w:val="en-US" w:eastAsia="zh-CN"/>
        </w:rPr>
        <w:t>6.</w:t>
      </w:r>
      <w:r>
        <w:rPr>
          <w:rFonts w:hint="default"/>
          <w:b/>
          <w:bCs/>
          <w:lang w:val="en-US" w:eastAsia="zh-CN"/>
        </w:rPr>
        <w:t>住房保障</w:t>
      </w:r>
      <w:r>
        <w:rPr>
          <w:rFonts w:hint="default"/>
          <w:lang w:val="en-US" w:eastAsia="zh-CN"/>
        </w:rPr>
        <w:t>支出</w:t>
      </w:r>
      <w:r>
        <w:rPr>
          <w:rFonts w:hint="eastAsia"/>
          <w:lang w:val="en-US" w:eastAsia="zh-CN"/>
        </w:rPr>
        <w:t>决算为59.87万元，完成预算94.34%。决算数小于</w:t>
      </w:r>
      <w:r>
        <w:rPr>
          <w:rStyle w:val="19"/>
          <w:rFonts w:hint="eastAsia" w:ascii="仿宋" w:hAnsi="仿宋" w:eastAsia="仿宋"/>
          <w:b w:val="0"/>
          <w:color w:val="000000" w:themeColor="text1"/>
          <w:sz w:val="32"/>
          <w:szCs w:val="32"/>
          <w:lang w:val="en-US" w:eastAsia="zh-CN"/>
          <w14:textFill>
            <w14:solidFill>
              <w14:schemeClr w14:val="tx1"/>
            </w14:solidFill>
          </w14:textFill>
        </w:rPr>
        <w:t>预算数系年中</w:t>
      </w:r>
      <w:r>
        <w:rPr>
          <w:rFonts w:hint="eastAsia" w:ascii="仿宋" w:hAnsi="仿宋" w:eastAsia="仿宋"/>
          <w:color w:val="000000" w:themeColor="text1"/>
          <w:sz w:val="32"/>
          <w:szCs w:val="32"/>
          <w:highlight w:val="none"/>
          <w:lang w:val="en-US" w:eastAsia="zh-CN"/>
          <w14:textFill>
            <w14:solidFill>
              <w14:schemeClr w14:val="tx1"/>
            </w14:solidFill>
          </w14:textFill>
        </w:rPr>
        <w:t>人员变动。</w:t>
      </w:r>
    </w:p>
    <w:p>
      <w:pPr>
        <w:pStyle w:val="9"/>
        <w:pageBreakBefore w:val="0"/>
        <w:numPr>
          <w:ilvl w:val="0"/>
          <w:numId w:val="0"/>
        </w:numPr>
        <w:kinsoku/>
        <w:wordWrap/>
        <w:overflowPunct/>
        <w:topLinePunct w:val="0"/>
        <w:bidi w:val="0"/>
        <w:spacing w:line="520" w:lineRule="exact"/>
        <w:ind w:firstLine="602" w:firstLineChars="200"/>
        <w:rPr>
          <w:rFonts w:hint="default"/>
          <w:lang w:val="en-US" w:eastAsia="zh-CN"/>
        </w:rPr>
      </w:pPr>
      <w:r>
        <w:rPr>
          <w:rFonts w:hint="eastAsia"/>
          <w:b/>
          <w:bCs/>
          <w:lang w:val="en-US" w:eastAsia="zh-CN"/>
        </w:rPr>
        <w:t>7.</w:t>
      </w:r>
      <w:r>
        <w:rPr>
          <w:rFonts w:hint="default"/>
          <w:b/>
          <w:bCs/>
          <w:lang w:val="en-US" w:eastAsia="zh-CN"/>
        </w:rPr>
        <w:t>灾害防治及应急管理</w:t>
      </w:r>
      <w:r>
        <w:rPr>
          <w:rFonts w:hint="default"/>
          <w:lang w:val="en-US" w:eastAsia="zh-CN"/>
        </w:rPr>
        <w:t>支出</w:t>
      </w:r>
      <w:r>
        <w:rPr>
          <w:rFonts w:hint="eastAsia"/>
          <w:lang w:val="en-US" w:eastAsia="zh-CN"/>
        </w:rPr>
        <w:t>决算为297.19万元，完成预算47%。决算数小于</w:t>
      </w:r>
      <w:r>
        <w:rPr>
          <w:rStyle w:val="19"/>
          <w:rFonts w:hint="eastAsia" w:ascii="仿宋" w:hAnsi="仿宋" w:eastAsia="仿宋"/>
          <w:b w:val="0"/>
          <w:color w:val="000000" w:themeColor="text1"/>
          <w:sz w:val="32"/>
          <w:szCs w:val="32"/>
          <w:lang w:val="en-US" w:eastAsia="zh-CN"/>
          <w14:textFill>
            <w14:solidFill>
              <w14:schemeClr w14:val="tx1"/>
            </w14:solidFill>
          </w14:textFill>
        </w:rPr>
        <w:t>预算数系市本级以前年度结转资金330万元未实现支出；当年度5万元收入为年末追加，当年度未能实现支付。</w:t>
      </w:r>
    </w:p>
    <w:p>
      <w:pPr>
        <w:pStyle w:val="9"/>
        <w:pageBreakBefore w:val="0"/>
        <w:numPr>
          <w:ilvl w:val="0"/>
          <w:numId w:val="0"/>
        </w:numPr>
        <w:kinsoku/>
        <w:wordWrap/>
        <w:overflowPunct/>
        <w:topLinePunct w:val="0"/>
        <w:bidi w:val="0"/>
        <w:spacing w:line="520" w:lineRule="exact"/>
        <w:ind w:firstLine="602" w:firstLineChars="200"/>
        <w:rPr>
          <w:rFonts w:hint="eastAsia" w:ascii="黑体" w:eastAsia="黑体"/>
          <w:color w:val="auto"/>
          <w:sz w:val="32"/>
          <w:szCs w:val="32"/>
          <w:highlight w:val="none"/>
        </w:rPr>
      </w:pPr>
      <w:r>
        <w:rPr>
          <w:rFonts w:hint="eastAsia"/>
          <w:b/>
          <w:bCs/>
          <w:lang w:val="en-US" w:eastAsia="zh-CN"/>
        </w:rPr>
        <w:t>8.</w:t>
      </w:r>
      <w:r>
        <w:rPr>
          <w:rFonts w:hint="default"/>
          <w:b/>
          <w:bCs/>
          <w:lang w:val="en-US" w:eastAsia="zh-CN"/>
        </w:rPr>
        <w:t>其他支出</w:t>
      </w:r>
      <w:r>
        <w:rPr>
          <w:rFonts w:hint="eastAsia"/>
          <w:lang w:val="en-US" w:eastAsia="zh-CN"/>
        </w:rPr>
        <w:t>决算为5118.09万元，完成预算37%。决算数小于预算数，该支出为江家口水库建设管理中心建设项目资金，年初结转资金1.4亿元，2021年未能全部实现支付。</w:t>
      </w:r>
      <w:bookmarkStart w:id="56" w:name="_Toc15396608"/>
      <w:bookmarkStart w:id="57" w:name="_Toc15377214"/>
    </w:p>
    <w:p>
      <w:pPr>
        <w:keepNext w:val="0"/>
        <w:keepLines w:val="0"/>
        <w:pageBreakBefore w:val="0"/>
        <w:widowControl w:val="0"/>
        <w:tabs>
          <w:tab w:val="right" w:pos="8306"/>
        </w:tabs>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color w:val="auto"/>
          <w:highlight w:val="none"/>
        </w:rPr>
      </w:pPr>
      <w:bookmarkStart w:id="58" w:name="_Toc2111725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56"/>
      <w:bookmarkEnd w:id="57"/>
      <w:bookmarkEnd w:id="58"/>
      <w:r>
        <w:rPr>
          <w:rStyle w:val="30"/>
          <w:rFonts w:ascii="黑体" w:hAnsi="黑体" w:eastAsia="黑体"/>
          <w:b w:val="0"/>
          <w:color w:val="auto"/>
          <w:highlight w:val="none"/>
        </w:rPr>
        <w:tab/>
      </w:r>
    </w:p>
    <w:p>
      <w:pPr>
        <w:pageBreakBefore w:val="0"/>
        <w:kinsoku/>
        <w:wordWrap/>
        <w:overflowPunct/>
        <w:topLinePunct w:val="0"/>
        <w:bidi w:val="0"/>
        <w:spacing w:line="52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年一般公共预算财政拨款基本支出1325.18万元，其中：</w:t>
      </w:r>
    </w:p>
    <w:p>
      <w:pPr>
        <w:pageBreakBefore w:val="0"/>
        <w:kinsoku/>
        <w:wordWrap/>
        <w:overflowPunct/>
        <w:topLinePunct w:val="0"/>
        <w:bidi w:val="0"/>
        <w:spacing w:line="52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1141.47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pacing w:line="520" w:lineRule="exact"/>
        <w:ind w:firstLine="645"/>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183.71</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ascii="黑体" w:hAnsi="黑体" w:eastAsia="黑体"/>
          <w:b w:val="0"/>
          <w:color w:val="auto"/>
          <w:highlight w:val="none"/>
        </w:rPr>
      </w:pPr>
      <w:bookmarkStart w:id="59" w:name="_Toc15377215"/>
      <w:bookmarkStart w:id="60" w:name="_Toc231733793"/>
      <w:bookmarkStart w:id="61" w:name="_Toc15396609"/>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59"/>
      <w:bookmarkEnd w:id="60"/>
      <w:bookmarkEnd w:id="61"/>
    </w:p>
    <w:p>
      <w:pPr>
        <w:pageBreakBefore w:val="0"/>
        <w:kinsoku/>
        <w:wordWrap/>
        <w:overflowPunct/>
        <w:topLinePunct w:val="0"/>
        <w:bidi w:val="0"/>
        <w:spacing w:line="520" w:lineRule="exact"/>
        <w:ind w:firstLine="640"/>
        <w:outlineLvl w:val="2"/>
        <w:rPr>
          <w:rFonts w:ascii="仿宋" w:hAnsi="仿宋" w:eastAsia="仿宋"/>
          <w:b/>
          <w:color w:val="auto"/>
          <w:sz w:val="32"/>
          <w:szCs w:val="32"/>
          <w:highlight w:val="none"/>
        </w:rPr>
      </w:pPr>
      <w:bookmarkStart w:id="62" w:name="_Toc1092232006"/>
      <w:bookmarkStart w:id="63" w:name="_Toc15377216"/>
      <w:r>
        <w:rPr>
          <w:rFonts w:hint="eastAsia" w:ascii="仿宋" w:hAnsi="仿宋" w:eastAsia="仿宋"/>
          <w:b/>
          <w:color w:val="auto"/>
          <w:sz w:val="32"/>
          <w:szCs w:val="32"/>
          <w:highlight w:val="none"/>
        </w:rPr>
        <w:t>（一）“三公”经费财政拨款支出决算总体情况说明</w:t>
      </w:r>
      <w:bookmarkEnd w:id="62"/>
      <w:bookmarkEnd w:id="63"/>
    </w:p>
    <w:p>
      <w:pPr>
        <w:pageBreakBefore w:val="0"/>
        <w:kinsoku/>
        <w:wordWrap/>
        <w:overflowPunct/>
        <w:topLinePunct w:val="0"/>
        <w:bidi w:val="0"/>
        <w:spacing w:line="52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25.99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96.26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ageBreakBefore w:val="0"/>
        <w:kinsoku/>
        <w:wordWrap/>
        <w:overflowPunct/>
        <w:topLinePunct w:val="0"/>
        <w:bidi w:val="0"/>
        <w:spacing w:line="520" w:lineRule="exact"/>
        <w:ind w:firstLine="640"/>
        <w:outlineLvl w:val="2"/>
        <w:rPr>
          <w:rFonts w:ascii="仿宋" w:hAnsi="仿宋" w:eastAsia="仿宋"/>
          <w:b/>
          <w:color w:val="auto"/>
          <w:sz w:val="32"/>
          <w:szCs w:val="32"/>
          <w:highlight w:val="none"/>
        </w:rPr>
      </w:pPr>
      <w:bookmarkStart w:id="64" w:name="_Toc15377217"/>
      <w:bookmarkStart w:id="65" w:name="_Toc801795603"/>
      <w:r>
        <w:rPr>
          <w:rFonts w:hint="eastAsia" w:ascii="仿宋" w:hAnsi="仿宋" w:eastAsia="仿宋"/>
          <w:b/>
          <w:color w:val="auto"/>
          <w:sz w:val="32"/>
          <w:szCs w:val="32"/>
          <w:highlight w:val="none"/>
        </w:rPr>
        <w:t>（二）“三公”经费财政拨款支出决算具体情况说明</w:t>
      </w:r>
      <w:bookmarkEnd w:id="64"/>
      <w:bookmarkEnd w:id="65"/>
    </w:p>
    <w:p>
      <w:pPr>
        <w:pageBreakBefore w:val="0"/>
        <w:kinsoku/>
        <w:wordWrap/>
        <w:overflowPunct/>
        <w:topLinePunct w:val="0"/>
        <w:bidi w:val="0"/>
        <w:spacing w:line="52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19.24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74.07</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6.74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25.93</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9"/>
        <w:pageBreakBefore w:val="0"/>
        <w:kinsoku/>
        <w:wordWrap/>
        <w:overflowPunct/>
        <w:topLinePunct w:val="0"/>
        <w:bidi w:val="0"/>
        <w:spacing w:line="520" w:lineRule="exact"/>
        <w:jc w:val="center"/>
        <w:rPr>
          <w:rFonts w:hint="eastAsia" w:ascii="仿宋" w:hAnsi="仿宋" w:eastAsia="仿宋"/>
          <w:color w:val="auto"/>
          <w:sz w:val="32"/>
          <w:szCs w:val="32"/>
          <w:highlight w:val="none"/>
        </w:rPr>
      </w:pPr>
      <w:r>
        <w:drawing>
          <wp:anchor distT="0" distB="0" distL="114300" distR="114300" simplePos="0" relativeHeight="251666432" behindDoc="0" locked="0" layoutInCell="1" allowOverlap="1">
            <wp:simplePos x="0" y="0"/>
            <wp:positionH relativeFrom="column">
              <wp:posOffset>776605</wp:posOffset>
            </wp:positionH>
            <wp:positionV relativeFrom="paragraph">
              <wp:posOffset>21590</wp:posOffset>
            </wp:positionV>
            <wp:extent cx="3943350" cy="2362200"/>
            <wp:effectExtent l="4445" t="4445" r="14605" b="14605"/>
            <wp:wrapTopAndBottom/>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32"/>
          <w:szCs w:val="32"/>
          <w:highlight w:val="none"/>
        </w:rPr>
        <w:t>图7：“三公”经费财政拨款支出结构</w:t>
      </w:r>
    </w:p>
    <w:p/>
    <w:p>
      <w:pPr>
        <w:pageBreakBefore w:val="0"/>
        <w:numPr>
          <w:ilvl w:val="0"/>
          <w:numId w:val="0"/>
        </w:numPr>
        <w:kinsoku/>
        <w:wordWrap/>
        <w:overflowPunct/>
        <w:topLinePunct w:val="0"/>
        <w:bidi w:val="0"/>
        <w:spacing w:line="52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pageBreakBefore w:val="0"/>
        <w:numPr>
          <w:ilvl w:val="0"/>
          <w:numId w:val="0"/>
        </w:numPr>
        <w:kinsoku/>
        <w:wordWrap/>
        <w:overflowPunct/>
        <w:topLinePunct w:val="0"/>
        <w:bidi w:val="0"/>
        <w:spacing w:line="520" w:lineRule="exact"/>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19.24</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99.18</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b w:val="0"/>
          <w:bCs w:val="0"/>
          <w:color w:val="000000"/>
          <w:sz w:val="32"/>
          <w:szCs w:val="32"/>
        </w:rPr>
        <w:t>公务用车购置及运行维护费支出决算比</w:t>
      </w:r>
      <w:r>
        <w:rPr>
          <w:rFonts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020</w:t>
      </w:r>
      <w:r>
        <w:rPr>
          <w:rFonts w:hint="eastAsia" w:ascii="仿宋_GB2312" w:eastAsia="仿宋_GB2312"/>
          <w:b w:val="0"/>
          <w:bCs w:val="0"/>
          <w:color w:val="000000"/>
          <w:sz w:val="32"/>
          <w:szCs w:val="32"/>
        </w:rPr>
        <w:t>年</w:t>
      </w:r>
      <w:r>
        <w:rPr>
          <w:rFonts w:hint="eastAsia" w:ascii="仿宋_GB2312" w:eastAsia="仿宋_GB2312"/>
          <w:b w:val="0"/>
          <w:bCs w:val="0"/>
          <w:color w:val="000000"/>
          <w:sz w:val="32"/>
          <w:szCs w:val="32"/>
          <w:lang w:eastAsia="zh-CN"/>
        </w:rPr>
        <w:t>增加</w:t>
      </w:r>
      <w:r>
        <w:rPr>
          <w:rFonts w:hint="eastAsia" w:ascii="仿宋_GB2312" w:eastAsia="仿宋_GB2312"/>
          <w:bCs/>
          <w:color w:val="000000"/>
          <w:sz w:val="32"/>
          <w:szCs w:val="32"/>
          <w:lang w:val="en-US" w:eastAsia="zh-CN"/>
        </w:rPr>
        <w:t>3.54</w:t>
      </w:r>
      <w:r>
        <w:rPr>
          <w:rFonts w:hint="eastAsia" w:ascii="仿宋_GB2312" w:eastAsia="仿宋_GB2312"/>
          <w:bCs/>
          <w:color w:val="000000"/>
          <w:sz w:val="32"/>
          <w:szCs w:val="32"/>
        </w:rPr>
        <w:t>万元，增长</w:t>
      </w:r>
      <w:r>
        <w:rPr>
          <w:rFonts w:hint="eastAsia" w:ascii="仿宋_GB2312" w:eastAsia="仿宋_GB2312"/>
          <w:bCs/>
          <w:color w:val="000000"/>
          <w:sz w:val="32"/>
          <w:szCs w:val="32"/>
          <w:lang w:val="en-US" w:eastAsia="zh-CN"/>
        </w:rPr>
        <w:t>22.54</w:t>
      </w:r>
      <w:r>
        <w:rPr>
          <w:rFonts w:ascii="仿宋_GB2312" w:eastAsia="仿宋_GB2312"/>
          <w:bCs/>
          <w:color w:val="000000"/>
          <w:sz w:val="32"/>
          <w:szCs w:val="32"/>
        </w:rPr>
        <w:t>%</w:t>
      </w:r>
      <w:r>
        <w:rPr>
          <w:rFonts w:hint="eastAsia" w:ascii="仿宋_GB2312" w:eastAsia="仿宋_GB2312"/>
          <w:bCs/>
          <w:color w:val="000000"/>
          <w:sz w:val="32"/>
          <w:szCs w:val="32"/>
        </w:rPr>
        <w:t>。</w:t>
      </w:r>
      <w:r>
        <w:rPr>
          <w:rFonts w:hint="eastAsia" w:ascii="仿宋_GB2312" w:eastAsia="仿宋_GB2312"/>
          <w:bCs/>
          <w:color w:val="000000"/>
          <w:sz w:val="32"/>
          <w:szCs w:val="32"/>
          <w:highlight w:val="none"/>
        </w:rPr>
        <w:t>主</w:t>
      </w:r>
      <w:r>
        <w:rPr>
          <w:rFonts w:hint="eastAsia" w:ascii="仿宋_GB2312" w:eastAsia="仿宋_GB2312"/>
          <w:bCs/>
          <w:color w:val="000000" w:themeColor="text1"/>
          <w:sz w:val="32"/>
          <w:szCs w:val="32"/>
          <w:highlight w:val="none"/>
          <w14:textFill>
            <w14:solidFill>
              <w14:schemeClr w14:val="tx1"/>
            </w14:solidFill>
          </w14:textFill>
        </w:rPr>
        <w:t>要原因</w:t>
      </w:r>
      <w:r>
        <w:rPr>
          <w:rFonts w:hint="eastAsia" w:ascii="仿宋_GB2312" w:eastAsia="仿宋_GB2312"/>
          <w:bCs/>
          <w:color w:val="000000"/>
          <w:sz w:val="32"/>
          <w:szCs w:val="32"/>
          <w:highlight w:val="none"/>
        </w:rPr>
        <w:t>是</w:t>
      </w:r>
      <w:r>
        <w:rPr>
          <w:rFonts w:hint="eastAsia" w:ascii="仿宋_GB2312" w:eastAsia="仿宋_GB2312"/>
          <w:bCs/>
          <w:color w:val="000000"/>
          <w:sz w:val="32"/>
          <w:szCs w:val="32"/>
          <w:highlight w:val="none"/>
          <w:lang w:eastAsia="zh-CN"/>
        </w:rPr>
        <w:t>江家口水库建设管理中心</w:t>
      </w:r>
      <w:r>
        <w:rPr>
          <w:rFonts w:hint="eastAsia" w:ascii="仿宋_GB2312" w:eastAsia="仿宋_GB2312"/>
          <w:bCs/>
          <w:color w:val="000000"/>
          <w:sz w:val="32"/>
          <w:szCs w:val="32"/>
          <w:highlight w:val="none"/>
        </w:rPr>
        <w:t>2021年使</w:t>
      </w:r>
      <w:r>
        <w:rPr>
          <w:rFonts w:hint="eastAsia" w:ascii="仿宋_GB2312" w:eastAsia="仿宋_GB2312"/>
          <w:bCs/>
          <w:color w:val="000000"/>
          <w:sz w:val="32"/>
          <w:szCs w:val="32"/>
          <w:highlight w:val="none"/>
          <w:lang w:eastAsia="zh-CN"/>
        </w:rPr>
        <w:t>用</w:t>
      </w:r>
      <w:r>
        <w:rPr>
          <w:rFonts w:hint="eastAsia" w:ascii="仿宋_GB2312" w:eastAsia="仿宋_GB2312"/>
          <w:bCs/>
          <w:color w:val="000000"/>
          <w:sz w:val="32"/>
          <w:szCs w:val="32"/>
          <w:highlight w:val="none"/>
        </w:rPr>
        <w:t>水库工程项目资金购置公务车的运行维护费用纳入预算，维护费用增加</w:t>
      </w:r>
      <w:r>
        <w:rPr>
          <w:rFonts w:hint="eastAsia" w:ascii="仿宋_GB2312" w:eastAsia="仿宋_GB2312"/>
          <w:bCs/>
          <w:color w:val="000000"/>
          <w:sz w:val="32"/>
          <w:szCs w:val="32"/>
          <w:highlight w:val="none"/>
          <w:lang w:eastAsia="zh-CN"/>
        </w:rPr>
        <w:t>。</w:t>
      </w:r>
    </w:p>
    <w:p>
      <w:pPr>
        <w:pageBreakBefore w:val="0"/>
        <w:kinsoku/>
        <w:wordWrap/>
        <w:overflowPunct/>
        <w:topLinePunct w:val="0"/>
        <w:bidi w:val="0"/>
        <w:spacing w:line="52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bCs/>
          <w:color w:val="000000"/>
          <w:sz w:val="32"/>
          <w:szCs w:val="32"/>
        </w:rPr>
        <w:t>全年未更新购置公务用车。截至202</w:t>
      </w:r>
      <w:r>
        <w:rPr>
          <w:rFonts w:hint="eastAsia" w:ascii="仿宋_GB2312" w:eastAsia="仿宋_GB2312"/>
          <w:bCs/>
          <w:color w:val="000000"/>
          <w:sz w:val="32"/>
          <w:szCs w:val="32"/>
          <w:lang w:val="en-US" w:eastAsia="zh-CN"/>
        </w:rPr>
        <w:t>1</w:t>
      </w:r>
      <w:r>
        <w:rPr>
          <w:rFonts w:hint="eastAsia" w:ascii="仿宋_GB2312" w:eastAsia="仿宋_GB2312"/>
          <w:bCs/>
          <w:color w:val="000000"/>
          <w:sz w:val="32"/>
          <w:szCs w:val="32"/>
        </w:rPr>
        <w:t>年12月底，单位共有公务用车</w:t>
      </w:r>
      <w:r>
        <w:rPr>
          <w:rFonts w:hint="eastAsia" w:ascii="仿宋_GB2312" w:eastAsia="仿宋_GB2312"/>
          <w:bCs/>
          <w:color w:val="000000"/>
          <w:sz w:val="32"/>
          <w:szCs w:val="32"/>
          <w:lang w:val="en-US" w:eastAsia="zh-CN"/>
        </w:rPr>
        <w:t>4</w:t>
      </w:r>
      <w:r>
        <w:rPr>
          <w:rFonts w:hint="eastAsia" w:ascii="仿宋_GB2312" w:eastAsia="仿宋_GB2312"/>
          <w:bCs/>
          <w:color w:val="000000"/>
          <w:sz w:val="32"/>
          <w:szCs w:val="32"/>
          <w:highlight w:val="none"/>
        </w:rPr>
        <w:t>辆</w:t>
      </w:r>
      <w:r>
        <w:rPr>
          <w:rFonts w:hint="eastAsia" w:ascii="仿宋_GB2312" w:eastAsia="仿宋_GB2312"/>
          <w:bCs/>
          <w:color w:val="000000"/>
          <w:sz w:val="32"/>
          <w:szCs w:val="32"/>
        </w:rPr>
        <w:t>，其中：越野车</w:t>
      </w:r>
      <w:r>
        <w:rPr>
          <w:rFonts w:hint="eastAsia" w:ascii="仿宋_GB2312" w:eastAsia="仿宋_GB2312"/>
          <w:bCs/>
          <w:color w:val="000000"/>
          <w:sz w:val="32"/>
          <w:szCs w:val="32"/>
          <w:lang w:eastAsia="zh-CN"/>
        </w:rPr>
        <w:t>三</w:t>
      </w:r>
      <w:r>
        <w:rPr>
          <w:rFonts w:hint="eastAsia" w:ascii="仿宋_GB2312" w:eastAsia="仿宋_GB2312"/>
          <w:bCs/>
          <w:color w:val="000000"/>
          <w:sz w:val="32"/>
          <w:szCs w:val="32"/>
        </w:rPr>
        <w:t>辆、防汛抗旱特种专业技术车一辆。</w:t>
      </w:r>
    </w:p>
    <w:p>
      <w:pPr>
        <w:pageBreakBefore w:val="0"/>
        <w:kinsoku/>
        <w:wordWrap/>
        <w:overflowPunct/>
        <w:topLinePunct w:val="0"/>
        <w:bidi w:val="0"/>
        <w:spacing w:line="52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19.24</w:t>
      </w:r>
      <w:r>
        <w:rPr>
          <w:rFonts w:hint="eastAsia" w:ascii="仿宋_GB2312" w:eastAsia="仿宋_GB2312"/>
          <w:color w:val="auto"/>
          <w:sz w:val="32"/>
          <w:szCs w:val="32"/>
          <w:highlight w:val="none"/>
        </w:rPr>
        <w:t>万元。主要用于水资源管理与保护、河长制、防汛抢险、水利工程建设、巴河水景观运行维护、化成水库运行维护</w:t>
      </w:r>
      <w:r>
        <w:rPr>
          <w:rFonts w:hint="eastAsia" w:ascii="仿宋_GB2312" w:eastAsia="仿宋_GB2312"/>
          <w:color w:val="auto"/>
          <w:sz w:val="32"/>
          <w:szCs w:val="32"/>
          <w:highlight w:val="none"/>
          <w:lang w:eastAsia="zh-CN"/>
        </w:rPr>
        <w:t>、江家口水库建设</w:t>
      </w:r>
      <w:r>
        <w:rPr>
          <w:rFonts w:hint="eastAsia" w:ascii="仿宋_GB2312" w:eastAsia="仿宋_GB2312"/>
          <w:color w:val="auto"/>
          <w:sz w:val="32"/>
          <w:szCs w:val="32"/>
          <w:highlight w:val="none"/>
        </w:rPr>
        <w:t>等所需的公务用车燃料费、维修费、过路过桥费、保险费等支出。</w:t>
      </w:r>
    </w:p>
    <w:p>
      <w:pPr>
        <w:pageBreakBefore w:val="0"/>
        <w:numPr>
          <w:ilvl w:val="0"/>
          <w:numId w:val="0"/>
        </w:numPr>
        <w:kinsoku/>
        <w:wordWrap/>
        <w:overflowPunct/>
        <w:topLinePunct w:val="0"/>
        <w:bidi w:val="0"/>
        <w:spacing w:line="520" w:lineRule="exact"/>
        <w:ind w:firstLine="643" w:firstLineChars="200"/>
        <w:rPr>
          <w:rFonts w:hint="eastAsia"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6.74</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88.68</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0.25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3.58</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原因</w:t>
      </w:r>
      <w:r>
        <w:rPr>
          <w:rFonts w:hint="eastAsia" w:ascii="仿宋_GB2312" w:eastAsia="仿宋_GB2312"/>
          <w:color w:val="auto"/>
          <w:sz w:val="32"/>
          <w:szCs w:val="32"/>
          <w:highlight w:val="none"/>
        </w:rPr>
        <w:t>主要</w:t>
      </w:r>
      <w:r>
        <w:rPr>
          <w:rFonts w:hint="eastAsia" w:ascii="仿宋_GB2312" w:eastAsia="仿宋_GB2312"/>
          <w:color w:val="auto"/>
          <w:sz w:val="32"/>
          <w:szCs w:val="32"/>
          <w:highlight w:val="none"/>
          <w:lang w:eastAsia="zh-CN"/>
        </w:rPr>
        <w:t>是</w:t>
      </w:r>
      <w:r>
        <w:rPr>
          <w:rFonts w:hint="eastAsia" w:ascii="仿宋_GB2312" w:eastAsia="仿宋_GB2312"/>
          <w:color w:val="auto"/>
          <w:sz w:val="32"/>
          <w:szCs w:val="32"/>
          <w:highlight w:val="none"/>
        </w:rPr>
        <w:t>严格执行中央八项规定精神</w:t>
      </w:r>
      <w:r>
        <w:rPr>
          <w:rFonts w:hint="eastAsia" w:ascii="仿宋_GB2312" w:eastAsia="仿宋_GB2312"/>
          <w:color w:val="auto"/>
          <w:sz w:val="32"/>
          <w:szCs w:val="32"/>
          <w:highlight w:val="none"/>
          <w:lang w:eastAsia="zh-CN"/>
        </w:rPr>
        <w:t>，严控费用增长</w:t>
      </w:r>
      <w:r>
        <w:rPr>
          <w:rFonts w:hint="eastAsia" w:ascii="仿宋_GB2312" w:eastAsia="仿宋_GB2312"/>
          <w:color w:val="auto"/>
          <w:sz w:val="32"/>
          <w:szCs w:val="32"/>
          <w:highlight w:val="none"/>
        </w:rPr>
        <w:t>。其中：</w:t>
      </w:r>
    </w:p>
    <w:p>
      <w:pPr>
        <w:pageBreakBefore w:val="0"/>
        <w:numPr>
          <w:ilvl w:val="0"/>
          <w:numId w:val="0"/>
        </w:numPr>
        <w:kinsoku/>
        <w:wordWrap/>
        <w:overflowPunct/>
        <w:topLinePunct w:val="0"/>
        <w:bidi w:val="0"/>
        <w:spacing w:line="520" w:lineRule="exact"/>
        <w:ind w:firstLine="643" w:firstLineChars="200"/>
        <w:rPr>
          <w:rFonts w:hint="eastAsia"/>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6.74</w:t>
      </w:r>
      <w:r>
        <w:rPr>
          <w:rFonts w:hint="eastAsia" w:ascii="仿宋_GB2312" w:eastAsia="仿宋_GB2312"/>
          <w:color w:val="auto"/>
          <w:sz w:val="32"/>
          <w:szCs w:val="32"/>
          <w:highlight w:val="none"/>
        </w:rPr>
        <w:t>万元，主要用于水利部、省水利厅对在建的大型、中型水库建设与小型水库日常管理、农村饮水安全的检查和河（湖）长制的督查等公务接待。国内公务接待</w:t>
      </w:r>
      <w:r>
        <w:rPr>
          <w:rFonts w:hint="eastAsia" w:ascii="仿宋_GB2312" w:eastAsia="仿宋_GB2312"/>
          <w:color w:val="auto"/>
          <w:sz w:val="32"/>
          <w:szCs w:val="32"/>
          <w:highlight w:val="none"/>
          <w:lang w:val="en-US" w:eastAsia="zh-CN"/>
        </w:rPr>
        <w:t>73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616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6.74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ascii="黑体" w:hAnsi="黑体" w:eastAsia="黑体"/>
          <w:color w:val="auto"/>
          <w:highlight w:val="none"/>
        </w:rPr>
      </w:pPr>
      <w:bookmarkStart w:id="66" w:name="_Toc15377218"/>
      <w:bookmarkStart w:id="67" w:name="_Toc15396610"/>
      <w:bookmarkStart w:id="68" w:name="_Toc894209670"/>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66"/>
      <w:bookmarkEnd w:id="67"/>
      <w:bookmarkEnd w:id="68"/>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拨款支出8897.29万元。</w:t>
      </w:r>
      <w:r>
        <w:rPr>
          <w:rFonts w:hint="eastAsia" w:ascii="仿宋_GB2312" w:eastAsia="仿宋_GB2312"/>
          <w:color w:val="000000"/>
          <w:sz w:val="32"/>
          <w:szCs w:val="32"/>
          <w:highlight w:val="none"/>
        </w:rPr>
        <w:t>比20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11889.64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57.2%。</w:t>
      </w:r>
      <w:r>
        <w:rPr>
          <w:rFonts w:hint="eastAsia" w:ascii="仿宋_GB2312" w:eastAsia="仿宋_GB2312"/>
          <w:color w:val="000000" w:themeColor="text1"/>
          <w:sz w:val="32"/>
          <w:szCs w:val="32"/>
          <w:highlight w:val="none"/>
          <w:lang w:val="en-US" w:eastAsia="zh-CN"/>
          <w14:textFill>
            <w14:solidFill>
              <w14:schemeClr w14:val="tx1"/>
            </w14:solidFill>
          </w14:textFill>
        </w:rPr>
        <w:t>市本级</w:t>
      </w:r>
      <w:r>
        <w:rPr>
          <w:rFonts w:hint="eastAsia" w:ascii="仿宋_GB2312" w:eastAsia="仿宋_GB2312"/>
          <w:color w:val="000000" w:themeColor="text1"/>
          <w:sz w:val="32"/>
          <w:szCs w:val="32"/>
          <w:highlight w:val="none"/>
          <w14:textFill>
            <w14:solidFill>
              <w14:schemeClr w14:val="tx1"/>
            </w14:solidFill>
          </w14:textFill>
        </w:rPr>
        <w:t>政府性基金预算</w:t>
      </w:r>
      <w:r>
        <w:rPr>
          <w:rFonts w:hint="eastAsia" w:ascii="仿宋_GB2312" w:eastAsia="仿宋_GB2312"/>
          <w:color w:val="000000" w:themeColor="text1"/>
          <w:sz w:val="32"/>
          <w:szCs w:val="32"/>
          <w:highlight w:val="none"/>
          <w:lang w:eastAsia="zh-CN"/>
          <w14:textFill>
            <w14:solidFill>
              <w14:schemeClr w14:val="tx1"/>
            </w14:solidFill>
          </w14:textFill>
        </w:rPr>
        <w:t>财政</w:t>
      </w:r>
      <w:r>
        <w:rPr>
          <w:rFonts w:hint="eastAsia" w:ascii="仿宋_GB2312" w:eastAsia="仿宋_GB2312"/>
          <w:color w:val="000000" w:themeColor="text1"/>
          <w:sz w:val="32"/>
          <w:szCs w:val="32"/>
          <w:highlight w:val="none"/>
          <w14:textFill>
            <w14:solidFill>
              <w14:schemeClr w14:val="tx1"/>
            </w14:solidFill>
          </w14:textFill>
        </w:rPr>
        <w:t>拨款</w:t>
      </w:r>
      <w:r>
        <w:rPr>
          <w:rFonts w:hint="eastAsia" w:ascii="仿宋_GB2312" w:eastAsia="仿宋_GB2312"/>
          <w:color w:val="000000" w:themeColor="text1"/>
          <w:sz w:val="32"/>
          <w:szCs w:val="32"/>
          <w:highlight w:val="none"/>
          <w:lang w:val="en-US" w:eastAsia="zh-CN"/>
          <w14:textFill>
            <w14:solidFill>
              <w14:schemeClr w14:val="tx1"/>
            </w14:solidFill>
          </w14:textFill>
        </w:rPr>
        <w:t>减少11400万元，</w:t>
      </w:r>
      <w:r>
        <w:rPr>
          <w:rFonts w:hint="eastAsia" w:ascii="仿宋_GB2312" w:eastAsia="仿宋_GB2312"/>
          <w:color w:val="000000" w:themeColor="text1"/>
          <w:sz w:val="32"/>
          <w:szCs w:val="32"/>
          <w:highlight w:val="none"/>
          <w:lang w:eastAsia="zh-CN"/>
          <w14:textFill>
            <w14:solidFill>
              <w14:schemeClr w14:val="tx1"/>
            </w14:solidFill>
          </w14:textFill>
        </w:rPr>
        <w:t>该项资金主要用于支付巴河二期防洪工程项目回购款</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ascii="黑体" w:hAnsi="黑体" w:eastAsia="黑体"/>
          <w:b w:val="0"/>
          <w:color w:val="auto"/>
          <w:highlight w:val="none"/>
        </w:rPr>
      </w:pPr>
      <w:bookmarkStart w:id="69" w:name="_Toc15377219"/>
      <w:bookmarkStart w:id="70" w:name="_Toc134754770"/>
      <w:bookmarkStart w:id="71" w:name="_Toc15396611"/>
      <w:r>
        <w:rPr>
          <w:rStyle w:val="30"/>
          <w:rFonts w:hint="eastAsia" w:ascii="黑体" w:hAnsi="黑体" w:eastAsia="黑体"/>
          <w:b w:val="0"/>
          <w:color w:val="auto"/>
          <w:highlight w:val="none"/>
        </w:rPr>
        <w:t>国有资本经营预算支出决算情况说明</w:t>
      </w:r>
      <w:bookmarkEnd w:id="69"/>
      <w:bookmarkEnd w:id="70"/>
      <w:bookmarkEnd w:id="71"/>
    </w:p>
    <w:p>
      <w:pPr>
        <w:pageBreakBefore w:val="0"/>
        <w:kinsoku/>
        <w:wordWrap/>
        <w:overflowPunct/>
        <w:topLinePunct w:val="0"/>
        <w:bidi w:val="0"/>
        <w:spacing w:line="52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hint="eastAsia" w:ascii="黑体" w:hAnsi="黑体" w:eastAsia="黑体"/>
          <w:b w:val="0"/>
          <w:color w:val="auto"/>
          <w:highlight w:val="none"/>
        </w:rPr>
      </w:pPr>
      <w:bookmarkStart w:id="72" w:name="_Toc15396612"/>
      <w:bookmarkStart w:id="73" w:name="_Toc15377221"/>
      <w:bookmarkStart w:id="74" w:name="_Toc836098867"/>
      <w:r>
        <w:rPr>
          <w:rStyle w:val="30"/>
          <w:rFonts w:hint="eastAsia" w:ascii="黑体" w:hAnsi="黑体" w:eastAsia="黑体"/>
          <w:b w:val="0"/>
          <w:color w:val="auto"/>
          <w:highlight w:val="none"/>
        </w:rPr>
        <w:t>其他重要事项的情况说明</w:t>
      </w:r>
      <w:bookmarkEnd w:id="72"/>
      <w:bookmarkEnd w:id="73"/>
      <w:bookmarkEnd w:id="74"/>
    </w:p>
    <w:p>
      <w:pPr>
        <w:pageBreakBefore w:val="0"/>
        <w:kinsoku/>
        <w:wordWrap/>
        <w:overflowPunct/>
        <w:topLinePunct w:val="0"/>
        <w:bidi w:val="0"/>
        <w:spacing w:line="520" w:lineRule="exact"/>
        <w:ind w:firstLine="643" w:firstLineChars="200"/>
        <w:outlineLvl w:val="2"/>
        <w:rPr>
          <w:rFonts w:ascii="仿宋" w:hAnsi="仿宋" w:eastAsia="仿宋"/>
          <w:color w:val="auto"/>
          <w:sz w:val="32"/>
          <w:szCs w:val="32"/>
          <w:highlight w:val="none"/>
        </w:rPr>
      </w:pPr>
      <w:bookmarkStart w:id="75" w:name="_Toc684909674"/>
      <w:bookmarkStart w:id="76" w:name="_Toc15377222"/>
      <w:r>
        <w:rPr>
          <w:rFonts w:hint="eastAsia" w:ascii="仿宋" w:hAnsi="仿宋" w:eastAsia="仿宋"/>
          <w:b/>
          <w:color w:val="auto"/>
          <w:sz w:val="32"/>
          <w:szCs w:val="32"/>
          <w:highlight w:val="none"/>
        </w:rPr>
        <w:t>（一）机关运行经费支出情况</w:t>
      </w:r>
      <w:bookmarkEnd w:id="75"/>
      <w:bookmarkEnd w:id="7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市水利局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126.68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51.68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eastAsia="zh-CN"/>
          <w14:textFill>
            <w14:solidFill>
              <w14:schemeClr w14:val="tx1"/>
            </w14:solidFill>
          </w14:textFill>
        </w:rPr>
        <w:t>包含了公务员交通补贴</w:t>
      </w:r>
      <w:r>
        <w:rPr>
          <w:rFonts w:hint="eastAsia" w:ascii="仿宋_GB2312" w:eastAsia="仿宋_GB2312"/>
          <w:color w:val="000000" w:themeColor="text1"/>
          <w:sz w:val="32"/>
          <w:szCs w:val="32"/>
          <w:highlight w:val="none"/>
          <w:lang w:val="en-US" w:eastAsia="zh-CN"/>
          <w14:textFill>
            <w14:solidFill>
              <w14:schemeClr w14:val="tx1"/>
            </w14:solidFill>
          </w14:textFill>
        </w:rPr>
        <w:t>28.48万元。</w:t>
      </w:r>
    </w:p>
    <w:p>
      <w:pPr>
        <w:pageBreakBefore w:val="0"/>
        <w:kinsoku/>
        <w:wordWrap/>
        <w:overflowPunct/>
        <w:topLinePunct w:val="0"/>
        <w:autoSpaceDE w:val="0"/>
        <w:autoSpaceDN w:val="0"/>
        <w:bidi w:val="0"/>
        <w:adjustRightInd w:val="0"/>
        <w:spacing w:line="520" w:lineRule="exact"/>
        <w:ind w:firstLine="643" w:firstLineChars="200"/>
        <w:jc w:val="left"/>
        <w:outlineLvl w:val="2"/>
        <w:rPr>
          <w:rFonts w:ascii="仿宋" w:hAnsi="仿宋" w:eastAsia="仿宋"/>
          <w:b/>
          <w:color w:val="auto"/>
          <w:sz w:val="32"/>
          <w:szCs w:val="32"/>
          <w:highlight w:val="none"/>
        </w:rPr>
      </w:pPr>
      <w:bookmarkStart w:id="77" w:name="_Toc666665099"/>
      <w:bookmarkStart w:id="78" w:name="_Toc15377223"/>
      <w:r>
        <w:rPr>
          <w:rFonts w:hint="eastAsia" w:ascii="仿宋" w:hAnsi="仿宋" w:eastAsia="仿宋"/>
          <w:b/>
          <w:color w:val="auto"/>
          <w:sz w:val="32"/>
          <w:szCs w:val="32"/>
          <w:highlight w:val="none"/>
        </w:rPr>
        <w:t>（二）政府采购支出情况</w:t>
      </w:r>
      <w:bookmarkEnd w:id="77"/>
      <w:bookmarkEnd w:id="78"/>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江家口</w:t>
      </w:r>
      <w:r>
        <w:rPr>
          <w:rFonts w:hint="eastAsia" w:ascii="仿宋_GB2312" w:eastAsia="仿宋_GB2312"/>
          <w:color w:val="auto"/>
          <w:sz w:val="32"/>
          <w:szCs w:val="32"/>
          <w:highlight w:val="none"/>
        </w:rPr>
        <w:t>水库建设管理中心政府采购支出总额 14.73 万元，其中：政府采购货物支出 14.73 万元。主要用于单位新进人员采购办公设备、办公桌椅、空调等。授予中小企业合同金额14.73元，占政府采购支出总额的100%，其中：授予小微企业合同金额 14.73 万元，占政府采购支出总额的100%。。</w:t>
      </w:r>
    </w:p>
    <w:p>
      <w:pPr>
        <w:pageBreakBefore w:val="0"/>
        <w:kinsoku/>
        <w:wordWrap/>
        <w:overflowPunct/>
        <w:topLinePunct w:val="0"/>
        <w:autoSpaceDE w:val="0"/>
        <w:autoSpaceDN w:val="0"/>
        <w:bidi w:val="0"/>
        <w:adjustRightInd w:val="0"/>
        <w:spacing w:line="520" w:lineRule="exact"/>
        <w:ind w:firstLine="643" w:firstLineChars="200"/>
        <w:jc w:val="left"/>
        <w:outlineLvl w:val="2"/>
        <w:rPr>
          <w:rFonts w:ascii="仿宋" w:hAnsi="仿宋" w:eastAsia="仿宋"/>
          <w:b/>
          <w:color w:val="auto"/>
          <w:sz w:val="32"/>
          <w:szCs w:val="32"/>
          <w:highlight w:val="none"/>
        </w:rPr>
      </w:pPr>
      <w:bookmarkStart w:id="79" w:name="_Toc15377224"/>
      <w:bookmarkStart w:id="80" w:name="_Toc681066846"/>
      <w:r>
        <w:rPr>
          <w:rFonts w:hint="eastAsia" w:ascii="仿宋" w:hAnsi="仿宋" w:eastAsia="仿宋"/>
          <w:b/>
          <w:color w:val="auto"/>
          <w:sz w:val="32"/>
          <w:szCs w:val="32"/>
          <w:highlight w:val="none"/>
        </w:rPr>
        <w:t>（三）国有资产占有使用情况</w:t>
      </w:r>
      <w:bookmarkEnd w:id="79"/>
      <w:bookmarkEnd w:id="80"/>
    </w:p>
    <w:p>
      <w:pPr>
        <w:pageBreakBefore w:val="0"/>
        <w:kinsoku/>
        <w:wordWrap/>
        <w:overflowPunct/>
        <w:topLinePunct w:val="0"/>
        <w:autoSpaceDE w:val="0"/>
        <w:autoSpaceDN w:val="0"/>
        <w:bidi w:val="0"/>
        <w:adjustRightInd w:val="0"/>
        <w:spacing w:line="52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市水利局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辆，其中：应急保障用车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辆，公务用车1两，特种专业技术用车1辆，单价50万元以上通用设备0台（套）。</w:t>
      </w:r>
    </w:p>
    <w:p>
      <w:pPr>
        <w:pageBreakBefore w:val="0"/>
        <w:kinsoku/>
        <w:wordWrap/>
        <w:overflowPunct/>
        <w:topLinePunct w:val="0"/>
        <w:autoSpaceDE w:val="0"/>
        <w:autoSpaceDN w:val="0"/>
        <w:bidi w:val="0"/>
        <w:adjustRightInd w:val="0"/>
        <w:spacing w:line="520" w:lineRule="exact"/>
        <w:ind w:firstLine="643" w:firstLineChars="200"/>
        <w:jc w:val="left"/>
        <w:outlineLvl w:val="2"/>
        <w:rPr>
          <w:rFonts w:ascii="仿宋" w:hAnsi="仿宋" w:eastAsia="仿宋"/>
          <w:b/>
          <w:color w:val="auto"/>
          <w:sz w:val="32"/>
          <w:szCs w:val="32"/>
          <w:highlight w:val="none"/>
        </w:rPr>
      </w:pPr>
      <w:bookmarkStart w:id="81" w:name="_Toc1052605414"/>
      <w:r>
        <w:rPr>
          <w:rFonts w:hint="eastAsia" w:ascii="仿宋" w:hAnsi="仿宋" w:eastAsia="仿宋"/>
          <w:b/>
          <w:color w:val="auto"/>
          <w:sz w:val="32"/>
          <w:szCs w:val="32"/>
          <w:highlight w:val="none"/>
        </w:rPr>
        <w:t>（四）预算绩效管理情况</w:t>
      </w:r>
      <w:bookmarkEnd w:id="81"/>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olor w:val="auto"/>
          <w:sz w:val="32"/>
          <w:szCs w:val="32"/>
          <w:highlight w:val="none"/>
          <w:lang w:val="en-US" w:eastAsia="zh-CN"/>
        </w:rPr>
        <w:t>我局对预算绩效管理工作高度重视，一是进一步修订了《巴中市水利局工作规则》，把预算编制、预算执行、预算绩效管理并纳入年度《巴中市水利局工作规则》刚性执行；二是加强了预算绩效管理学习培训，两次组织相关业务科室和财务人员，召开了绩效评价专项会议和预算绩效管理培训会议，对预算绩效管理工作进行了专题学习和培训，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按局党组要求对直属事业单位2021年财政支出开展绩效评价</w:t>
      </w:r>
      <w:r>
        <w:rPr>
          <w:rFonts w:hint="eastAsia" w:ascii="仿宋_GB2312" w:eastAsia="仿宋_GB2312"/>
          <w:color w:val="auto"/>
          <w:sz w:val="32"/>
          <w:szCs w:val="32"/>
          <w:highlight w:val="none"/>
          <w:lang w:val="en-US"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根据预算绩效管理要求，单位在年初预算编制阶段，组织对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河（湖）长制专项经费、防汛指挥中心运行经费、水土保持预防监督经费、水资源管理保护经费、重点水利工程质量监督专项经费</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开展了预算事前绩效评估，对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个项目编制了绩效目标，预算执行过程中，选取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个项目开展绩效监控，年终执行完毕后，对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个项目开展了绩效目标完成情况自评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2021年特定目标类部门预算项目绩效目标自评表见附件（第四部分）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2"/>
        <w:rPr>
          <w:rFonts w:hint="eastAsia"/>
        </w:rPr>
      </w:pPr>
    </w:p>
    <w:p>
      <w:pPr>
        <w:pageBreakBefore w:val="0"/>
        <w:widowControl/>
        <w:kinsoku/>
        <w:wordWrap/>
        <w:overflowPunct/>
        <w:topLinePunct w:val="0"/>
        <w:bidi w:val="0"/>
        <w:spacing w:line="520" w:lineRule="exact"/>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3"/>
        </w:numPr>
        <w:kinsoku/>
        <w:wordWrap/>
        <w:overflowPunct/>
        <w:topLinePunct w:val="0"/>
        <w:bidi w:val="0"/>
        <w:spacing w:line="520" w:lineRule="exact"/>
        <w:ind w:firstLine="660" w:firstLineChars="150"/>
        <w:jc w:val="center"/>
        <w:outlineLvl w:val="0"/>
        <w:rPr>
          <w:rStyle w:val="29"/>
          <w:rFonts w:ascii="黑体" w:hAnsi="黑体" w:eastAsia="黑体"/>
          <w:b w:val="0"/>
          <w:color w:val="auto"/>
          <w:highlight w:val="none"/>
        </w:rPr>
      </w:pPr>
      <w:bookmarkStart w:id="82" w:name="_Toc15377225"/>
      <w:bookmarkStart w:id="83" w:name="_Toc15396613"/>
      <w:bookmarkStart w:id="84" w:name="_Toc454313550"/>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82"/>
      <w:bookmarkEnd w:id="83"/>
      <w:bookmarkEnd w:id="84"/>
    </w:p>
    <w:p>
      <w:pPr>
        <w:pageBreakBefore w:val="0"/>
        <w:kinsoku/>
        <w:wordWrap/>
        <w:overflowPunct/>
        <w:topLinePunct w:val="0"/>
        <w:bidi w:val="0"/>
        <w:spacing w:line="520" w:lineRule="exact"/>
        <w:jc w:val="left"/>
        <w:rPr>
          <w:rFonts w:ascii="宋体"/>
          <w:b/>
          <w:color w:val="auto"/>
          <w:sz w:val="44"/>
          <w:szCs w:val="44"/>
          <w:highlight w:val="none"/>
        </w:rPr>
      </w:pP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7"/>
        <w:spacing w:line="560" w:lineRule="exact"/>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9</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社会保障和就业支出、机关事业单位基本养老保险缴费支出：指用于行政事业单位养老方面的支出。</w:t>
      </w:r>
    </w:p>
    <w:p>
      <w:pPr>
        <w:pStyle w:val="27"/>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10</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卫生健康支出、行政事业单位医疗支出：指行政事业单位医疗方面的支出。</w:t>
      </w:r>
    </w:p>
    <w:p>
      <w:pPr>
        <w:pStyle w:val="27"/>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11</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节能环保、污染防治支出：指反映政府在排水、污水处理、水污染防治、湖库生态环境保护、水源保护、国土江河综合整治、河流治理与保护、地下水修复与保护等方面的支出。</w:t>
      </w:r>
    </w:p>
    <w:p>
      <w:pPr>
        <w:ind w:left="638" w:leftChars="304"/>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农林水（类）水利支出：指政府用于水利方面的支出。</w:t>
      </w:r>
    </w:p>
    <w:p>
      <w:pPr>
        <w:ind w:firstLine="640" w:firstLineChars="200"/>
      </w:pPr>
      <w:r>
        <w:rPr>
          <w:rFonts w:hint="eastAsia" w:ascii="仿宋_GB2312" w:eastAsia="仿宋_GB2312"/>
          <w:color w:val="000000" w:themeColor="text1"/>
          <w:sz w:val="32"/>
          <w:szCs w:val="32"/>
          <w:highlight w:val="none"/>
          <w:lang w:val="en-US" w:eastAsia="zh-CN"/>
          <w14:textFill>
            <w14:solidFill>
              <w14:schemeClr w14:val="tx1"/>
            </w14:solidFill>
          </w14:textFill>
        </w:rPr>
        <w:t>13</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住房保障（类）住房改革支出：指行政事业单位用财政拨款资金和其他资金等安排的住房改革支出。</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20" w:lineRule="exact"/>
        <w:jc w:val="center"/>
        <w:outlineLvl w:val="0"/>
        <w:rPr>
          <w:rStyle w:val="29"/>
          <w:rFonts w:hint="eastAsia" w:ascii="黑体" w:hAnsi="黑体" w:eastAsia="黑体"/>
          <w:b w:val="0"/>
          <w:color w:val="auto"/>
          <w:highlight w:val="none"/>
          <w:lang w:eastAsia="zh-CN"/>
        </w:rPr>
      </w:pPr>
      <w:bookmarkStart w:id="85" w:name="_Toc15377226"/>
      <w:r>
        <w:rPr>
          <w:rFonts w:ascii="宋体"/>
          <w:b/>
          <w:color w:val="auto"/>
          <w:sz w:val="44"/>
          <w:szCs w:val="44"/>
          <w:highlight w:val="none"/>
        </w:rPr>
        <w:br w:type="page"/>
      </w:r>
      <w:bookmarkStart w:id="86" w:name="_Toc254997632"/>
      <w:bookmarkStart w:id="87" w:name="_Toc15396614"/>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86"/>
      <w:bookmarkEnd w:id="87"/>
    </w:p>
    <w:p>
      <w:pPr>
        <w:keepNext w:val="0"/>
        <w:keepLines w:val="0"/>
        <w:pageBreakBefore w:val="0"/>
        <w:kinsoku/>
        <w:wordWrap/>
        <w:overflowPunct/>
        <w:topLinePunct w:val="0"/>
        <w:autoSpaceDE/>
        <w:autoSpaceDN/>
        <w:bidi w:val="0"/>
        <w:spacing w:line="520" w:lineRule="exact"/>
        <w:jc w:val="left"/>
        <w:textAlignment w:val="auto"/>
        <w:outlineLvl w:val="9"/>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eastAsia="方正小标宋简体"/>
          <w:b/>
          <w:bCs/>
          <w:sz w:val="44"/>
          <w:szCs w:val="44"/>
          <w:shd w:val="clear" w:color="auto" w:fill="FFFFFF"/>
          <w:lang w:eastAsia="zh-CN"/>
        </w:rPr>
      </w:pPr>
      <w:r>
        <w:rPr>
          <w:rFonts w:hint="eastAsia" w:ascii="方正小标宋简体" w:eastAsia="方正小标宋简体"/>
          <w:b/>
          <w:bCs/>
          <w:sz w:val="44"/>
          <w:szCs w:val="44"/>
          <w:shd w:val="clear" w:color="auto" w:fill="FFFFFF"/>
          <w:lang w:eastAsia="zh-CN"/>
        </w:rPr>
        <w:t>巴中市水利局</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eastAsia="方正小标宋简体"/>
          <w:sz w:val="44"/>
          <w:szCs w:val="44"/>
          <w:shd w:val="clear" w:color="auto" w:fill="FFFFFF"/>
        </w:rPr>
      </w:pPr>
      <w:r>
        <w:rPr>
          <w:rFonts w:hint="eastAsia" w:ascii="方正小标宋简体" w:eastAsia="方正小标宋简体"/>
          <w:b/>
          <w:bCs/>
          <w:color w:val="000000"/>
          <w:sz w:val="44"/>
          <w:szCs w:val="44"/>
          <w:shd w:val="clear" w:color="auto" w:fill="FFFFFF"/>
        </w:rPr>
        <w:t>2021年度</w:t>
      </w:r>
      <w:r>
        <w:rPr>
          <w:rFonts w:hint="eastAsia" w:ascii="方正小标宋简体" w:eastAsia="方正小标宋简体"/>
          <w:b/>
          <w:bCs/>
          <w:sz w:val="44"/>
          <w:szCs w:val="44"/>
          <w:shd w:val="clear" w:color="auto" w:fill="FFFFFF"/>
        </w:rPr>
        <w:t>整体支出绩效评价报告</w:t>
      </w:r>
    </w:p>
    <w:p>
      <w:pPr>
        <w:keepNext w:val="0"/>
        <w:keepLines w:val="0"/>
        <w:pageBreakBefore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b/>
          <w:bCs/>
          <w:color w:val="000000"/>
          <w:sz w:val="32"/>
          <w:szCs w:val="32"/>
          <w:shd w:val="clear" w:color="auto" w:fill="FFFFFF"/>
          <w:lang w:bidi="ar-SA"/>
        </w:rPr>
      </w:pPr>
    </w:p>
    <w:p>
      <w:pPr>
        <w:keepNext w:val="0"/>
        <w:keepLines w:val="0"/>
        <w:pageBreakBefore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bidi="ar-SA"/>
        </w:rPr>
        <w:t>一、</w:t>
      </w:r>
      <w:r>
        <w:rPr>
          <w:rFonts w:hint="eastAsia" w:ascii="方正仿宋_GBK" w:hAnsi="方正仿宋_GBK" w:eastAsia="方正仿宋_GBK" w:cs="方正仿宋_GBK"/>
          <w:b/>
          <w:bCs/>
          <w:color w:val="000000"/>
          <w:sz w:val="32"/>
          <w:szCs w:val="32"/>
          <w:shd w:val="clear" w:color="auto" w:fill="FFFFFF"/>
          <w:lang w:val="zh-CN" w:eastAsia="zh-CN" w:bidi="ar-SA"/>
        </w:rPr>
        <w:t>部门概况</w:t>
      </w:r>
    </w:p>
    <w:p>
      <w:pPr>
        <w:keepNext w:val="0"/>
        <w:keepLines w:val="0"/>
        <w:pageBreakBefore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（一）机构组成</w:t>
      </w:r>
    </w:p>
    <w:p>
      <w:pPr>
        <w:keepNext w:val="0"/>
        <w:keepLines w:val="0"/>
        <w:pageBreakBefore w:val="0"/>
        <w:kinsoku/>
        <w:wordWrap/>
        <w:overflowPunct/>
        <w:topLinePunct w:val="0"/>
        <w:autoSpaceDE/>
        <w:autoSpaceDN/>
        <w:bidi w:val="0"/>
        <w:snapToGrid w:val="0"/>
        <w:spacing w:line="560" w:lineRule="exact"/>
        <w:ind w:firstLine="640" w:firstLineChars="200"/>
        <w:rPr>
          <w:rFonts w:hint="eastAsia" w:ascii="方正仿宋_GBK" w:hAnsi="方正仿宋_GBK" w:eastAsia="方正仿宋_GBK" w:cs="方正仿宋_GBK"/>
          <w:color w:val="000000"/>
          <w:kern w:val="2"/>
          <w:sz w:val="32"/>
          <w:szCs w:val="32"/>
          <w:shd w:val="clear" w:color="auto" w:fill="FFFFFF"/>
          <w:lang w:val="zh-CN"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行政机构1个</w:t>
      </w:r>
      <w:r>
        <w:rPr>
          <w:rFonts w:hint="eastAsia" w:ascii="方正仿宋_GBK" w:hAnsi="方正仿宋_GBK" w:eastAsia="方正仿宋_GBK" w:cs="方正仿宋_GBK"/>
          <w:color w:val="000000"/>
          <w:kern w:val="2"/>
          <w:sz w:val="32"/>
          <w:szCs w:val="32"/>
          <w:shd w:val="clear" w:color="auto" w:fill="FFFFFF"/>
          <w:lang w:eastAsia="zh-CN" w:bidi="ar-SA"/>
        </w:rPr>
        <w:t>，</w:t>
      </w:r>
      <w:r>
        <w:rPr>
          <w:rFonts w:hint="eastAsia" w:ascii="方正仿宋_GBK" w:hAnsi="方正仿宋_GBK" w:eastAsia="方正仿宋_GBK" w:cs="方正仿宋_GBK"/>
          <w:color w:val="000000"/>
          <w:kern w:val="2"/>
          <w:sz w:val="32"/>
          <w:szCs w:val="32"/>
          <w:shd w:val="clear" w:color="auto" w:fill="FFFFFF"/>
          <w:lang w:val="en-US" w:eastAsia="zh-CN" w:bidi="ar-SA"/>
        </w:rPr>
        <w:t>市水利局机关</w:t>
      </w:r>
      <w:r>
        <w:rPr>
          <w:rFonts w:hint="eastAsia" w:ascii="方正仿宋_GBK" w:hAnsi="方正仿宋_GBK" w:eastAsia="方正仿宋_GBK" w:cs="方正仿宋_GBK"/>
          <w:color w:val="000000"/>
          <w:kern w:val="2"/>
          <w:sz w:val="32"/>
          <w:szCs w:val="32"/>
          <w:shd w:val="clear" w:color="auto" w:fill="FFFFFF"/>
          <w:lang w:eastAsia="zh-CN" w:bidi="ar-SA"/>
        </w:rPr>
        <w:t>；</w:t>
      </w:r>
      <w:r>
        <w:rPr>
          <w:rFonts w:hint="eastAsia" w:ascii="方正仿宋_GBK" w:hAnsi="方正仿宋_GBK" w:eastAsia="方正仿宋_GBK" w:cs="方正仿宋_GBK"/>
          <w:color w:val="000000"/>
          <w:kern w:val="2"/>
          <w:sz w:val="32"/>
          <w:szCs w:val="32"/>
          <w:shd w:val="clear" w:color="auto" w:fill="FFFFFF"/>
          <w:lang w:val="en-US" w:eastAsia="zh-CN" w:bidi="ar-SA"/>
        </w:rPr>
        <w:t>参照公务员法管理单位1个</w:t>
      </w:r>
      <w:r>
        <w:rPr>
          <w:rFonts w:hint="eastAsia" w:ascii="方正仿宋_GBK" w:hAnsi="方正仿宋_GBK" w:eastAsia="方正仿宋_GBK" w:cs="方正仿宋_GBK"/>
          <w:color w:val="000000"/>
          <w:kern w:val="2"/>
          <w:sz w:val="32"/>
          <w:szCs w:val="32"/>
          <w:shd w:val="clear" w:color="auto" w:fill="FFFFFF"/>
          <w:lang w:eastAsia="zh-CN" w:bidi="ar-SA"/>
        </w:rPr>
        <w:t>，</w:t>
      </w:r>
      <w:r>
        <w:rPr>
          <w:rFonts w:hint="eastAsia" w:ascii="方正仿宋_GBK" w:hAnsi="方正仿宋_GBK" w:eastAsia="方正仿宋_GBK" w:cs="方正仿宋_GBK"/>
          <w:color w:val="000000"/>
          <w:kern w:val="2"/>
          <w:sz w:val="32"/>
          <w:szCs w:val="32"/>
          <w:shd w:val="clear" w:color="auto" w:fill="FFFFFF"/>
          <w:lang w:val="en-US" w:eastAsia="zh-CN" w:bidi="ar-SA"/>
        </w:rPr>
        <w:t>市水务综合监察支队；财政补助开支事业单位5个，市河湖管理保护中心、市水务工程质量安全监督站、市柳津湖运行保护中心、市化成水库运行保护中心、市江家口水库建设管理中心。</w:t>
      </w:r>
    </w:p>
    <w:p>
      <w:pPr>
        <w:keepNext w:val="0"/>
        <w:keepLines w:val="0"/>
        <w:pageBreakBefore w:val="0"/>
        <w:numPr>
          <w:ilvl w:val="0"/>
          <w:numId w:val="4"/>
        </w:numPr>
        <w:kinsoku/>
        <w:wordWrap/>
        <w:overflowPunct/>
        <w:topLinePunct w:val="0"/>
        <w:autoSpaceDE/>
        <w:autoSpaceDN/>
        <w:bidi w:val="0"/>
        <w:spacing w:line="560" w:lineRule="exact"/>
        <w:ind w:left="0" w:firstLine="640"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贯彻落实中央、省、市关于水利工作的方针政策和法律法规，起草有关地方性法规和规章，拟订全市水利行政管理的实施细则和管理办法；拟订全市水利战略发展规划，组织编制全市水资源综合规划、水资源保护规划，并负责指导实施和监督；负责全市水资源的合理开发利用；指导水资源保护工作。指导饮用水水源保护有关工作，指导地下水开发利用和地下水资源管理保护；负责水利工程建设质量的监督管理；负责水利行业的安全生产监督管理；负责水库、饮水工程、堤防、闸坝等水利工程运行的指导监督；负责河湖水域及岸线的保护；负责节约用水工作；负责落实综合防汛减灾规划相关要求，组织编制洪水干旱灾害防治规划和防护标准并指导实施；指导农村水利工作；负责水土保持工作；负责重大涉水违法事件的查处，组织指导水政监察和水行政执法，协调和仲裁跨区域水事纠纷；负责指导大中型水利水电工程移民安置规划大纲编制审查和移民安置；</w:t>
      </w:r>
      <w:r>
        <w:rPr>
          <w:rFonts w:hint="eastAsia" w:ascii="方正仿宋_GBK" w:hAnsi="方正仿宋_GBK" w:eastAsia="方正仿宋_GBK" w:cs="方正仿宋_GBK"/>
          <w:sz w:val="32"/>
          <w:szCs w:val="32"/>
          <w:lang w:eastAsia="zh-CN"/>
        </w:rPr>
        <w:t>负责巴河城区段水景观维护、化成水库运行保护、江家口水库建设管理工作；</w:t>
      </w:r>
      <w:r>
        <w:rPr>
          <w:rFonts w:hint="eastAsia" w:ascii="方正仿宋_GBK" w:hAnsi="方正仿宋_GBK" w:eastAsia="方正仿宋_GBK" w:cs="方正仿宋_GBK"/>
          <w:color w:val="000000"/>
          <w:kern w:val="2"/>
          <w:sz w:val="32"/>
          <w:szCs w:val="32"/>
          <w:shd w:val="clear" w:color="auto" w:fill="FFFFFF"/>
          <w:lang w:val="en-US" w:eastAsia="zh-CN" w:bidi="ar-SA"/>
        </w:rPr>
        <w:t>完成市委和市政府交办的其他任务。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bCs/>
          <w:color w:val="000000"/>
          <w:kern w:val="2"/>
          <w:sz w:val="32"/>
          <w:szCs w:val="32"/>
          <w:shd w:val="clear" w:color="auto" w:fill="FFFFFF"/>
          <w:lang w:val="zh-CN" w:eastAsia="zh-CN" w:bidi="ar-SA"/>
        </w:rPr>
      </w:pPr>
      <w:r>
        <w:rPr>
          <w:rFonts w:hint="eastAsia" w:ascii="方正仿宋_GBK" w:hAnsi="方正仿宋_GBK" w:eastAsia="方正仿宋_GBK" w:cs="方正仿宋_GBK"/>
          <w:b/>
          <w:bCs/>
          <w:color w:val="000000"/>
          <w:kern w:val="2"/>
          <w:sz w:val="32"/>
          <w:szCs w:val="32"/>
          <w:shd w:val="clear" w:color="auto" w:fill="FFFFFF"/>
          <w:lang w:val="zh-CN" w:eastAsia="zh-CN" w:bidi="ar-SA"/>
        </w:rPr>
        <w:t>（三）人员概况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在职在编财政拨款补助人员76人。其中：行政27人，参公管理6人，事业43人。</w:t>
      </w:r>
    </w:p>
    <w:p>
      <w:pPr>
        <w:keepNext w:val="0"/>
        <w:keepLines w:val="0"/>
        <w:pageBreakBefore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b/>
          <w:bCs/>
          <w:color w:val="000000"/>
          <w:sz w:val="32"/>
          <w:szCs w:val="32"/>
          <w:shd w:val="clear" w:color="auto" w:fill="FFFFFF"/>
          <w:lang w:bidi="ar-SA"/>
        </w:rPr>
      </w:pPr>
      <w:r>
        <w:rPr>
          <w:rFonts w:hint="eastAsia" w:ascii="方正仿宋_GBK" w:hAnsi="方正仿宋_GBK" w:eastAsia="方正仿宋_GBK" w:cs="方正仿宋_GBK"/>
          <w:b/>
          <w:bCs/>
          <w:color w:val="000000"/>
          <w:sz w:val="32"/>
          <w:szCs w:val="32"/>
          <w:shd w:val="clear" w:color="auto" w:fill="FFFFFF"/>
          <w:lang w:bidi="ar-SA"/>
        </w:rPr>
        <w:t>二、部门财政资金收支情况</w:t>
      </w:r>
    </w:p>
    <w:p>
      <w:pPr>
        <w:keepNext w:val="0"/>
        <w:keepLines w:val="0"/>
        <w:pageBreakBefore w:val="0"/>
        <w:kinsoku/>
        <w:wordWrap/>
        <w:overflowPunct/>
        <w:topLinePunct w:val="0"/>
        <w:autoSpaceDE/>
        <w:autoSpaceDN/>
        <w:bidi w:val="0"/>
        <w:spacing w:line="560" w:lineRule="exact"/>
        <w:ind w:left="0" w:firstLine="640"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（一）部门财政资金收入情况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财政年初预算安排1362.8万元，追加预算53151.3万元，全年预算收入54514.1万元，较上年减少42.4%。主要原因系江家口水库建设资金按照投资计划拨付，较上年减少3.1亿元。</w:t>
      </w:r>
    </w:p>
    <w:p>
      <w:pPr>
        <w:keepNext w:val="0"/>
        <w:keepLines w:val="0"/>
        <w:pageBreakBefore w:val="0"/>
        <w:kinsoku/>
        <w:wordWrap/>
        <w:overflowPunct/>
        <w:topLinePunct w:val="0"/>
        <w:autoSpaceDE/>
        <w:autoSpaceDN/>
        <w:bidi w:val="0"/>
        <w:spacing w:line="560" w:lineRule="exact"/>
        <w:ind w:left="0" w:firstLine="640"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w:t>
      </w:r>
      <w:r>
        <w:rPr>
          <w:rFonts w:hint="eastAsia" w:ascii="方正仿宋_GBK" w:hAnsi="方正仿宋_GBK" w:eastAsia="方正仿宋_GBK" w:cs="方正仿宋_GBK"/>
          <w:b/>
          <w:bCs/>
          <w:color w:val="000000"/>
          <w:sz w:val="32"/>
          <w:szCs w:val="32"/>
          <w:shd w:val="clear" w:color="auto" w:fill="FFFFFF"/>
          <w:lang w:val="en-US" w:eastAsia="zh-CN" w:bidi="ar-SA"/>
        </w:rPr>
        <w:t>二</w:t>
      </w:r>
      <w:r>
        <w:rPr>
          <w:rFonts w:hint="eastAsia" w:ascii="方正仿宋_GBK" w:hAnsi="方正仿宋_GBK" w:eastAsia="方正仿宋_GBK" w:cs="方正仿宋_GBK"/>
          <w:b/>
          <w:bCs/>
          <w:color w:val="000000"/>
          <w:sz w:val="32"/>
          <w:szCs w:val="32"/>
          <w:shd w:val="clear" w:color="auto" w:fill="FFFFFF"/>
          <w:lang w:val="zh-CN" w:eastAsia="zh-CN" w:bidi="ar-SA"/>
        </w:rPr>
        <w:t>）部门财政资金支出情况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2021年支出共计68320.9万元，较上年增加215%，部分资金使用上年结转资金，其中江家口水库建设资金使用上年度结转资金10000万元，二期堤防建设资金使用上年度结转资金8600万元，2021年支出增加主要原因是江家口水库正式开工，工程按照进度开始拨款。</w:t>
      </w:r>
    </w:p>
    <w:p>
      <w:pPr>
        <w:keepNext w:val="0"/>
        <w:keepLines w:val="0"/>
        <w:pageBreakBefore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b/>
          <w:bCs/>
          <w:color w:val="000000"/>
          <w:sz w:val="32"/>
          <w:szCs w:val="32"/>
          <w:shd w:val="clear" w:color="auto" w:fill="FFFFFF"/>
          <w:lang w:bidi="ar-SA"/>
        </w:rPr>
      </w:pPr>
      <w:r>
        <w:rPr>
          <w:rFonts w:hint="eastAsia" w:ascii="方正仿宋_GBK" w:hAnsi="方正仿宋_GBK" w:eastAsia="方正仿宋_GBK" w:cs="方正仿宋_GBK"/>
          <w:b/>
          <w:bCs/>
          <w:color w:val="000000"/>
          <w:sz w:val="32"/>
          <w:szCs w:val="32"/>
          <w:shd w:val="clear" w:color="auto" w:fill="FFFFFF"/>
          <w:lang w:bidi="ar-SA"/>
        </w:rPr>
        <w:t>三、</w:t>
      </w:r>
      <w:r>
        <w:rPr>
          <w:rFonts w:hint="eastAsia" w:ascii="方正仿宋_GBK" w:hAnsi="方正仿宋_GBK" w:eastAsia="方正仿宋_GBK" w:cs="方正仿宋_GBK"/>
          <w:b/>
          <w:bCs/>
          <w:color w:val="000000"/>
          <w:sz w:val="32"/>
          <w:szCs w:val="32"/>
          <w:shd w:val="clear" w:color="auto" w:fill="FFFFFF"/>
          <w:lang w:val="zh-CN" w:eastAsia="zh-CN" w:bidi="ar-SA"/>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仿宋_GB2312" w:hAnsi="宋体" w:eastAsia="仿宋_GB2312" w:cs="宋体"/>
          <w:b/>
          <w:bCs/>
          <w:color w:val="auto"/>
          <w:kern w:val="0"/>
          <w:sz w:val="32"/>
          <w:szCs w:val="32"/>
          <w:highlight w:val="none"/>
          <w:shd w:val="clear" w:color="auto" w:fill="FFFFFF"/>
          <w:lang w:val="zh-CN"/>
        </w:rPr>
        <w:t>（一）部门预算项目绩效管理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在预算编制中，充分结合上年支出情况和市委、市政府以及省厅工作目标任务要求，按照“三定”方案编制年度预算、合理制定年度绩效目标、中长期规划，局党组召开专题会议研究讨论年度重点目标任务和绩效目标设置，确保目标任务定位准确可行，所需资金预算的申请科学合理；2021年人员经费得到了保障，机关正常运转，预算执行无违规记录；发展类项目全面完成年初制定的绩效目标，</w:t>
      </w:r>
      <w:r>
        <w:rPr>
          <w:rFonts w:hint="eastAsia" w:ascii="方正仿宋_GBK" w:hAnsi="方正仿宋_GBK" w:eastAsia="方正仿宋_GBK" w:cs="方正仿宋_GBK"/>
          <w:color w:val="auto"/>
          <w:sz w:val="32"/>
          <w:szCs w:val="32"/>
          <w:highlight w:val="none"/>
        </w:rPr>
        <w:t>全年完成水利投资32.5亿元，争取中、省无偿资金11.87亿元，实施水利项目94个，储备项目32个。</w:t>
      </w:r>
      <w:r>
        <w:rPr>
          <w:rFonts w:hint="eastAsia" w:ascii="方正仿宋_GBK" w:hAnsi="方正仿宋_GBK" w:eastAsia="方正仿宋_GBK" w:cs="方正仿宋_GBK"/>
          <w:sz w:val="32"/>
          <w:szCs w:val="32"/>
        </w:rPr>
        <w:t>将青峪口水库、高桥水库等一批事关民生和发展的重点水利项目纳入国家、省“十四五”规划盘子，力争实现“十四五”水利投资150亿元。</w:t>
      </w:r>
    </w:p>
    <w:p>
      <w:pPr>
        <w:keepNext w:val="0"/>
        <w:keepLines w:val="0"/>
        <w:pageBreakBefore w:val="0"/>
        <w:numPr>
          <w:ilvl w:val="0"/>
          <w:numId w:val="0"/>
        </w:numPr>
        <w:tabs>
          <w:tab w:val="left" w:pos="0"/>
        </w:tabs>
        <w:kinsoku/>
        <w:wordWrap/>
        <w:overflowPunct/>
        <w:topLinePunct w:val="0"/>
        <w:autoSpaceDE/>
        <w:autoSpaceDN/>
        <w:bidi w:val="0"/>
        <w:spacing w:line="560" w:lineRule="exact"/>
        <w:ind w:firstLine="643" w:firstLineChars="200"/>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（二）结果应用情况</w:t>
      </w:r>
    </w:p>
    <w:p>
      <w:pPr>
        <w:keepNext w:val="0"/>
        <w:keepLines w:val="0"/>
        <w:pageBreakBefore w:val="0"/>
        <w:numPr>
          <w:ilvl w:val="0"/>
          <w:numId w:val="0"/>
        </w:numPr>
        <w:tabs>
          <w:tab w:val="left" w:pos="0"/>
        </w:tabs>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2021年度财政支出事中绩效评价结果证实，市水利局机关及直属单位2021年预算编制科学合理、绩效目标填报完整和可行、绩效目标过程监控规范、绩效评价客观公正。同时将资金绩效评价和目标任务完成的情况纳入市水利局科室和直属单位年度目标任务予以考核管理。5月中旬在市水利网站上对2021年度整体支出绩效评价报告进行公示。</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r>
        <w:rPr>
          <w:rFonts w:hint="eastAsia" w:ascii="仿宋_GB2312" w:hAnsi="宋体" w:eastAsia="仿宋_GB2312" w:cs="宋体"/>
          <w:color w:val="auto"/>
          <w:kern w:val="0"/>
          <w:sz w:val="32"/>
          <w:szCs w:val="32"/>
          <w:highlight w:val="none"/>
          <w:u w:val="non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方正仿宋_GBK" w:hAnsi="方正仿宋_GBK" w:eastAsia="方正仿宋_GBK" w:cs="方正仿宋_GBK"/>
          <w:spacing w:val="0"/>
          <w:w w:val="100"/>
          <w:kern w:val="0"/>
          <w:sz w:val="32"/>
          <w:szCs w:val="32"/>
          <w:lang w:val="en-US" w:eastAsia="zh-CN" w:bidi="ar-SA"/>
        </w:rPr>
      </w:pPr>
      <w:r>
        <w:rPr>
          <w:rFonts w:hint="eastAsia" w:ascii="方正仿宋_GBK" w:hAnsi="方正仿宋_GBK" w:eastAsia="方正仿宋_GBK" w:cs="方正仿宋_GBK"/>
          <w:spacing w:val="0"/>
          <w:w w:val="100"/>
          <w:kern w:val="0"/>
          <w:sz w:val="32"/>
          <w:szCs w:val="32"/>
          <w:lang w:val="en-US" w:eastAsia="zh-CN" w:bidi="ar-SA"/>
        </w:rPr>
        <w:t>市水利局2021年部门整体支出绩效评价满分100分，自评得分97.6分，优秀等次。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spacing w:val="0"/>
          <w:w w:val="100"/>
          <w:kern w:val="0"/>
          <w:sz w:val="32"/>
          <w:szCs w:val="32"/>
          <w:lang w:val="en-US" w:eastAsia="zh-CN" w:bidi="ar-SA"/>
        </w:rPr>
        <w:t>主要得分点：内控制度健全且执行较好，会计核算及时规范；绩效目标制定符合国家法律法规、符合部门“三定”方案、符合部门制定的中长期规划；绩效目标填写完整、指标清晰，与预算资金相匹配；预算完成率较高；采购预算执行规范；“三公经费”控制较为严格；资产管理规范；年度预算、决算公开及时、规范；部门对项目开展了绩效评价；绩效评价结果及时进行了公开；对绩效评价工作高度重视，组织召开专题会议对绩效评价工作进行安排部署和培训，并组织评价小组在2022年5月对直属事业单位2021年财政支出开展绩效评价工作。</w:t>
      </w:r>
    </w:p>
    <w:p>
      <w:pPr>
        <w:keepNext w:val="0"/>
        <w:keepLines w:val="0"/>
        <w:pageBreakBefore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b/>
          <w:bCs/>
          <w:color w:val="000000"/>
          <w:sz w:val="32"/>
          <w:szCs w:val="32"/>
          <w:shd w:val="clear" w:color="auto" w:fill="FFFFFF"/>
          <w:lang w:val="en-US" w:eastAsia="zh-CN" w:bidi="ar-SA"/>
        </w:rPr>
      </w:pPr>
      <w:r>
        <w:rPr>
          <w:rFonts w:hint="eastAsia" w:ascii="方正仿宋_GBK" w:hAnsi="方正仿宋_GBK" w:eastAsia="方正仿宋_GBK" w:cs="方正仿宋_GBK"/>
          <w:b/>
          <w:bCs/>
          <w:color w:val="000000"/>
          <w:sz w:val="32"/>
          <w:szCs w:val="32"/>
          <w:shd w:val="clear" w:color="auto" w:fill="FFFFFF"/>
          <w:lang w:val="en-US" w:eastAsia="zh-CN" w:bidi="ar-SA"/>
        </w:rPr>
        <w:t>四、</w:t>
      </w:r>
      <w:r>
        <w:rPr>
          <w:rFonts w:hint="eastAsia" w:ascii="方正仿宋_GBK" w:hAnsi="方正仿宋_GBK" w:eastAsia="方正仿宋_GBK" w:cs="方正仿宋_GBK"/>
          <w:b/>
          <w:bCs/>
          <w:color w:val="000000"/>
          <w:sz w:val="32"/>
          <w:szCs w:val="32"/>
          <w:shd w:val="clear" w:color="auto" w:fill="FFFFFF"/>
          <w:lang w:bidi="ar-SA"/>
        </w:rPr>
        <w:t>评价结论</w:t>
      </w:r>
      <w:r>
        <w:rPr>
          <w:rFonts w:hint="eastAsia" w:ascii="方正仿宋_GBK" w:hAnsi="方正仿宋_GBK" w:eastAsia="方正仿宋_GBK" w:cs="方正仿宋_GBK"/>
          <w:b/>
          <w:bCs/>
          <w:color w:val="000000"/>
          <w:sz w:val="32"/>
          <w:szCs w:val="32"/>
          <w:shd w:val="clear" w:color="auto" w:fill="FFFFFF"/>
          <w:lang w:eastAsia="zh-CN" w:bidi="ar-SA"/>
        </w:rPr>
        <w:t>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lang w:val="zh-CN"/>
        </w:rPr>
      </w:pPr>
      <w:r>
        <w:rPr>
          <w:rFonts w:hint="eastAsia" w:ascii="方正仿宋_GBK" w:hAnsi="方正仿宋_GBK" w:eastAsia="方正仿宋_GBK" w:cs="方正仿宋_GBK"/>
          <w:kern w:val="0"/>
          <w:sz w:val="32"/>
          <w:szCs w:val="32"/>
          <w:lang w:val="en-US" w:eastAsia="zh-CN" w:bidi="ar-SA"/>
        </w:rPr>
        <w:t>2021年，市水利局各项工作均走在了全省市州前列。2021年度省政府对市州政府年度目标考核，水利局承担的4项任务全部进入市州前7位。其中最严格的水资源管理考核位列市州第一名，防汛抗旱考核位列市州第一等次，河湖长制考核位列市州第三名，水土保持考核位列市州第四名。</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en-US" w:eastAsia="zh-CN"/>
        </w:rPr>
        <w:t>（二）</w:t>
      </w:r>
      <w:r>
        <w:rPr>
          <w:rFonts w:hint="eastAsia" w:ascii="仿宋_GB2312" w:hAnsi="宋体" w:eastAsia="仿宋_GB2312" w:cs="宋体"/>
          <w:color w:val="auto"/>
          <w:kern w:val="0"/>
          <w:sz w:val="32"/>
          <w:szCs w:val="32"/>
          <w:highlight w:val="none"/>
          <w:shd w:val="clear" w:color="auto" w:fill="FFFFFF"/>
          <w:lang w:val="zh-CN"/>
        </w:rPr>
        <w:t>存在问题</w:t>
      </w:r>
    </w:p>
    <w:p>
      <w:pPr>
        <w:pStyle w:val="9"/>
        <w:numPr>
          <w:ilvl w:val="0"/>
          <w:numId w:val="0"/>
        </w:numPr>
        <w:tabs>
          <w:tab w:val="left" w:pos="0"/>
        </w:tabs>
        <w:ind w:firstLine="640" w:firstLineChars="200"/>
        <w:rPr>
          <w:lang w:val="zh-CN"/>
        </w:rPr>
      </w:pPr>
      <w:r>
        <w:rPr>
          <w:rFonts w:hint="eastAsia" w:ascii="方正仿宋_GBK" w:hAnsi="方正仿宋_GBK" w:eastAsia="方正仿宋_GBK" w:cs="方正仿宋_GBK"/>
          <w:spacing w:val="0"/>
          <w:w w:val="100"/>
          <w:kern w:val="0"/>
          <w:sz w:val="32"/>
          <w:szCs w:val="32"/>
          <w:lang w:val="en-US" w:eastAsia="zh-CN" w:bidi="ar-SA"/>
        </w:rPr>
        <w:t>经评价，市水利局绩效管理还存在的主要问题有三：一是绩效目标不够清晰、细化；二是经费预算不够具体、准确，特别是化成水库运行保护中心，经费预算不足；三是过程监管措施不够明确。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方正仿宋_GBK" w:hAnsi="方正仿宋_GBK" w:eastAsia="方正仿宋_GBK" w:cs="方正仿宋_GBK"/>
          <w:spacing w:val="0"/>
          <w:w w:val="100"/>
          <w:kern w:val="0"/>
          <w:sz w:val="32"/>
          <w:szCs w:val="32"/>
          <w:lang w:val="en-US" w:eastAsia="zh-CN" w:bidi="ar-SA"/>
        </w:rPr>
      </w:pPr>
      <w:r>
        <w:rPr>
          <w:rFonts w:hint="eastAsia" w:ascii="方正仿宋_GBK" w:hAnsi="方正仿宋_GBK" w:eastAsia="方正仿宋_GBK" w:cs="方正仿宋_GBK"/>
          <w:spacing w:val="0"/>
          <w:w w:val="100"/>
          <w:kern w:val="0"/>
          <w:sz w:val="32"/>
          <w:szCs w:val="32"/>
          <w:lang w:val="en-US" w:eastAsia="zh-CN" w:bidi="ar-SA"/>
        </w:rPr>
        <w:t>下一步，市水利局将针对评价发现的问题，进一步强化目标绩效设置，增强绩效目标任务设置的科学性、针对性和可量化操作性；进一步加强对目标任务实现过程资金使用的监管，最大限度发挥财政资金的使用效益。</w:t>
      </w:r>
    </w:p>
    <w:p>
      <w:pPr>
        <w:rPr>
          <w:rFonts w:hint="eastAsia" w:ascii="方正仿宋_GBK" w:hAnsi="方正仿宋_GBK" w:eastAsia="方正仿宋_GBK" w:cs="方正仿宋_GBK"/>
          <w:spacing w:val="0"/>
          <w:w w:val="100"/>
          <w:kern w:val="0"/>
          <w:sz w:val="32"/>
          <w:szCs w:val="32"/>
          <w:lang w:val="en-US" w:eastAsia="zh-CN" w:bidi="ar-SA"/>
        </w:rPr>
      </w:pPr>
      <w:r>
        <w:rPr>
          <w:rFonts w:hint="eastAsia" w:ascii="方正仿宋_GBK" w:hAnsi="方正仿宋_GBK" w:eastAsia="方正仿宋_GBK" w:cs="方正仿宋_GBK"/>
          <w:spacing w:val="0"/>
          <w:w w:val="100"/>
          <w:kern w:val="0"/>
          <w:sz w:val="32"/>
          <w:szCs w:val="32"/>
          <w:lang w:val="en-US" w:eastAsia="zh-CN" w:bidi="ar-SA"/>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附件：柳津湖运行保护中心</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二级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三级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96</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w:t>
            </w:r>
            <w:r>
              <w:rPr>
                <w:rStyle w:val="35"/>
                <w:lang w:val="en-US" w:eastAsia="zh-CN" w:bidi="ar"/>
              </w:rPr>
              <w:t xml:space="preserve">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设立</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w:t>
            </w:r>
            <w:r>
              <w:rPr>
                <w:rStyle w:val="35"/>
                <w:lang w:val="en-US" w:eastAsia="zh-CN" w:bidi="ar"/>
              </w:rPr>
              <w:t>,紧扣发展大局(1分)；满足部门运转需要(0.5分)；不切合本地实际，实施效果较差（0分）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w:t>
            </w:r>
            <w:r>
              <w:rPr>
                <w:rStyle w:val="35"/>
                <w:lang w:val="en-US" w:eastAsia="zh-CN" w:bidi="ar"/>
              </w:rPr>
              <w:t>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Style w:val="35"/>
                <w:lang w:val="en-US" w:eastAsia="zh-CN" w:bidi="ar"/>
              </w:rPr>
              <w:t>.是否按规定程序申请设立(0.5分)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w:t>
            </w:r>
            <w:r>
              <w:rPr>
                <w:rStyle w:val="35"/>
                <w:lang w:val="en-US" w:eastAsia="zh-CN" w:bidi="ar"/>
              </w:rPr>
              <w:t>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w:t>
            </w:r>
            <w:r>
              <w:rPr>
                <w:rFonts w:hint="eastAsia" w:ascii="宋体" w:hAnsi="宋体" w:cs="宋体"/>
                <w:i w:val="0"/>
                <w:color w:val="000000"/>
                <w:kern w:val="0"/>
                <w:sz w:val="15"/>
                <w:szCs w:val="15"/>
                <w:u w:val="none"/>
                <w:lang w:val="en-US" w:eastAsia="zh-CN" w:bidi="ar"/>
              </w:rPr>
              <w:t>会议纪要</w:t>
            </w:r>
            <w:r>
              <w:rPr>
                <w:rFonts w:hint="eastAsia" w:ascii="宋体" w:hAnsi="宋体" w:eastAsia="宋体" w:cs="宋体"/>
                <w:i w:val="0"/>
                <w:color w:val="000000"/>
                <w:kern w:val="0"/>
                <w:sz w:val="15"/>
                <w:szCs w:val="15"/>
                <w:u w:val="none"/>
                <w:lang w:val="en-US" w:eastAsia="zh-CN" w:bidi="ar"/>
              </w:rPr>
              <w:t>（1分）；无任何资料（0分）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w:t>
            </w:r>
            <w:r>
              <w:rPr>
                <w:rStyle w:val="35"/>
                <w:lang w:val="en-US" w:eastAsia="zh-CN" w:bidi="ar"/>
              </w:rPr>
              <w:t>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Style w:val="35"/>
                <w:lang w:val="en-US" w:eastAsia="zh-CN" w:bidi="ar"/>
              </w:rPr>
              <w:t>.项目预算调整是否及时报送绩效目标调整方案(1分)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w:t>
            </w:r>
            <w:r>
              <w:rPr>
                <w:rStyle w:val="35"/>
                <w:lang w:val="en-US" w:eastAsia="zh-CN" w:bidi="ar"/>
              </w:rPr>
              <w:t>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Style w:val="35"/>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安排</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标准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w:t>
            </w:r>
            <w:r>
              <w:rPr>
                <w:rStyle w:val="35"/>
                <w:lang w:val="en-US" w:eastAsia="zh-CN" w:bidi="ar"/>
              </w:rPr>
              <w:t>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w:t>
            </w:r>
            <w:r>
              <w:rPr>
                <w:rStyle w:val="35"/>
                <w:lang w:val="en-US" w:eastAsia="zh-CN" w:bidi="ar"/>
              </w:rPr>
              <w:t>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w:t>
            </w:r>
            <w:r>
              <w:rPr>
                <w:rStyle w:val="35"/>
                <w:lang w:val="en-US" w:eastAsia="zh-CN" w:bidi="ar"/>
              </w:rPr>
              <w:t>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w:t>
            </w:r>
            <w:r>
              <w:rPr>
                <w:rStyle w:val="35"/>
                <w:lang w:val="en-US" w:eastAsia="zh-CN" w:bidi="ar"/>
              </w:rPr>
              <w:t>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预算</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制度</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w:t>
            </w:r>
            <w:r>
              <w:rPr>
                <w:rStyle w:val="35"/>
                <w:lang w:val="en-US" w:eastAsia="zh-CN" w:bidi="ar"/>
              </w:rPr>
              <w:t>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w:t>
            </w:r>
            <w:r>
              <w:rPr>
                <w:rStyle w:val="35"/>
                <w:lang w:val="en-US" w:eastAsia="zh-CN" w:bidi="ar"/>
              </w:rPr>
              <w:t>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组织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w:t>
            </w:r>
            <w:r>
              <w:rPr>
                <w:rStyle w:val="35"/>
                <w:lang w:val="en-US" w:eastAsia="zh-CN" w:bidi="ar"/>
              </w:rPr>
              <w:t>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w:t>
            </w:r>
            <w:r>
              <w:rPr>
                <w:rStyle w:val="35"/>
                <w:lang w:val="en-US" w:eastAsia="zh-CN" w:bidi="ar"/>
              </w:rPr>
              <w:t>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w:t>
            </w:r>
            <w:r>
              <w:rPr>
                <w:rStyle w:val="35"/>
                <w:lang w:val="en-US" w:eastAsia="zh-CN" w:bidi="ar"/>
              </w:rPr>
              <w:t>(1分)；建档立卷但不完整（0.5分）；无实施资料（0分）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r>
              <w:rPr>
                <w:rStyle w:val="35"/>
                <w:lang w:val="en-US" w:eastAsia="zh-CN" w:bidi="ar"/>
              </w:rPr>
              <w:t>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w:t>
            </w:r>
            <w:r>
              <w:rPr>
                <w:rStyle w:val="35"/>
                <w:lang w:val="en-US" w:eastAsia="zh-CN" w:bidi="ar"/>
              </w:rPr>
              <w:t>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w:t>
            </w:r>
            <w:r>
              <w:rPr>
                <w:rStyle w:val="35"/>
                <w:lang w:val="en-US" w:eastAsia="zh-CN" w:bidi="ar"/>
              </w:rPr>
              <w:t>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w:t>
            </w:r>
            <w:r>
              <w:rPr>
                <w:rStyle w:val="35"/>
                <w:lang w:val="en-US" w:eastAsia="zh-CN" w:bidi="ar"/>
              </w:rPr>
              <w:t>(1分)；建档立卷但不完整（0.5分）；无实施资料（0分）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w:t>
            </w:r>
            <w:r>
              <w:rPr>
                <w:rStyle w:val="35"/>
                <w:lang w:val="en-US" w:eastAsia="zh-CN" w:bidi="ar"/>
              </w:rPr>
              <w:t>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w:t>
            </w:r>
            <w:r>
              <w:rPr>
                <w:rStyle w:val="35"/>
                <w:lang w:val="en-US" w:eastAsia="zh-CN" w:bidi="ar"/>
              </w:rPr>
              <w:t>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w:t>
            </w:r>
            <w:r>
              <w:rPr>
                <w:rStyle w:val="35"/>
                <w:lang w:val="en-US" w:eastAsia="zh-CN" w:bidi="ar"/>
              </w:rPr>
              <w:t>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w:t>
            </w:r>
            <w:r>
              <w:rPr>
                <w:rStyle w:val="35"/>
                <w:lang w:val="en-US" w:eastAsia="zh-CN" w:bidi="ar"/>
              </w:rPr>
              <w:t>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w:t>
            </w:r>
            <w:r>
              <w:rPr>
                <w:rStyle w:val="35"/>
                <w:lang w:val="en-US" w:eastAsia="zh-CN" w:bidi="ar"/>
              </w:rPr>
              <w:t>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w:t>
            </w:r>
            <w:r>
              <w:rPr>
                <w:rStyle w:val="35"/>
                <w:lang w:val="en-US" w:eastAsia="zh-CN" w:bidi="ar"/>
              </w:rPr>
              <w:t>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w:t>
            </w:r>
            <w:r>
              <w:rPr>
                <w:rStyle w:val="35"/>
                <w:lang w:val="en-US" w:eastAsia="zh-CN" w:bidi="ar"/>
              </w:rPr>
              <w:t>(1分)；审批程序不规范(0.5分)；未审批(0分)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Style w:val="36"/>
                <w:lang w:val="en-US" w:eastAsia="zh-CN" w:bidi="ar"/>
              </w:rPr>
              <w:t>，</w:t>
            </w:r>
            <w:r>
              <w:rPr>
                <w:rStyle w:val="35"/>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w:t>
            </w:r>
            <w:r>
              <w:rPr>
                <w:rStyle w:val="35"/>
                <w:lang w:val="en-US" w:eastAsia="zh-CN" w:bidi="ar"/>
              </w:rPr>
              <w:t>；未严格执行(0.5分)；未执行(0分)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w:t>
            </w:r>
            <w:r>
              <w:rPr>
                <w:rStyle w:val="35"/>
                <w:lang w:val="en-US" w:eastAsia="zh-CN" w:bidi="ar"/>
              </w:rPr>
              <w:t>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w:t>
            </w:r>
            <w:r>
              <w:rPr>
                <w:rStyle w:val="35"/>
                <w:lang w:val="en-US" w:eastAsia="zh-CN" w:bidi="ar"/>
              </w:rPr>
              <w:t>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w:t>
            </w:r>
            <w:r>
              <w:rPr>
                <w:rStyle w:val="35"/>
                <w:lang w:val="en-US" w:eastAsia="zh-CN" w:bidi="ar"/>
              </w:rPr>
              <w:t>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w:t>
            </w:r>
            <w:r>
              <w:rPr>
                <w:rStyle w:val="35"/>
                <w:lang w:val="en-US" w:eastAsia="zh-CN" w:bidi="ar"/>
              </w:rPr>
              <w:t>(0.5分)；有违规支出或依据不真实(0分)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w:t>
            </w:r>
            <w:r>
              <w:rPr>
                <w:rStyle w:val="35"/>
                <w:lang w:val="en-US" w:eastAsia="zh-CN" w:bidi="ar"/>
              </w:rPr>
              <w:t>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w:t>
            </w:r>
            <w:r>
              <w:rPr>
                <w:rStyle w:val="35"/>
                <w:lang w:val="en-US" w:eastAsia="zh-CN" w:bidi="ar"/>
              </w:rPr>
              <w:t>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Style w:val="35"/>
                <w:lang w:val="en-US" w:eastAsia="zh-CN" w:bidi="ar"/>
              </w:rPr>
              <w:t>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w:t>
            </w:r>
            <w:r>
              <w:rPr>
                <w:rStyle w:val="35"/>
                <w:lang w:val="en-US" w:eastAsia="zh-CN" w:bidi="ar"/>
              </w:rPr>
              <w:t>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w:t>
            </w:r>
            <w:r>
              <w:rPr>
                <w:rStyle w:val="35"/>
                <w:lang w:val="en-US" w:eastAsia="zh-CN" w:bidi="ar"/>
              </w:rPr>
              <w:t>.5分）；不规范（0分）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w:t>
            </w:r>
            <w:r>
              <w:rPr>
                <w:rStyle w:val="35"/>
                <w:lang w:val="en-US" w:eastAsia="zh-CN" w:bidi="ar"/>
              </w:rPr>
              <w:t>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w:t>
            </w:r>
            <w:r>
              <w:rPr>
                <w:rStyle w:val="35"/>
                <w:lang w:val="en-US" w:eastAsia="zh-CN" w:bidi="ar"/>
              </w:rPr>
              <w:t>(0.5分)；未对项目收支进行明细核算(0分)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w:t>
            </w:r>
            <w:r>
              <w:rPr>
                <w:rStyle w:val="35"/>
                <w:lang w:val="en-US" w:eastAsia="zh-CN" w:bidi="ar"/>
              </w:rPr>
              <w:t>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w:t>
            </w:r>
            <w:r>
              <w:rPr>
                <w:rStyle w:val="35"/>
                <w:lang w:val="en-US" w:eastAsia="zh-CN" w:bidi="ar"/>
              </w:rPr>
              <w:t>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标 </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lang w:val="en-US" w:eastAsia="zh-CN" w:bidi="ar"/>
              </w:rPr>
            </w:pPr>
            <w:r>
              <w:rPr>
                <w:rFonts w:hint="eastAsia" w:ascii="宋体" w:hAnsi="宋体" w:eastAsia="宋体" w:cs="宋体"/>
                <w:i w:val="0"/>
                <w:color w:val="000000"/>
                <w:kern w:val="0"/>
                <w:sz w:val="15"/>
                <w:szCs w:val="15"/>
                <w:u w:val="none"/>
                <w:lang w:val="en-US" w:eastAsia="zh-CN" w:bidi="ar"/>
              </w:rPr>
              <w:t>T≥100%(5</w:t>
            </w:r>
            <w:r>
              <w:rPr>
                <w:rStyle w:val="35"/>
                <w:lang w:val="en-US" w:eastAsia="zh-CN" w:bidi="ar"/>
              </w:rPr>
              <w:t>分)；90%≤T＜100%(3分）</w:t>
            </w:r>
            <w:r>
              <w:rPr>
                <w:rStyle w:val="36"/>
                <w:lang w:val="en-US" w:eastAsia="zh-CN" w:bidi="ar"/>
              </w:rPr>
              <w:t>；</w:t>
            </w:r>
            <w:r>
              <w:rPr>
                <w:rStyle w:val="35"/>
                <w:lang w:val="en-US" w:eastAsia="zh-CN" w:bidi="ar"/>
              </w:rPr>
              <w:t>80%≤T＜90%(2分）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Style w:val="35"/>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质量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lang w:val="en-US" w:eastAsia="zh-CN" w:bidi="ar"/>
              </w:rPr>
            </w:pPr>
            <w:r>
              <w:rPr>
                <w:rFonts w:hint="eastAsia" w:ascii="宋体" w:hAnsi="宋体" w:eastAsia="宋体" w:cs="宋体"/>
                <w:i w:val="0"/>
                <w:color w:val="000000"/>
                <w:kern w:val="0"/>
                <w:sz w:val="15"/>
                <w:szCs w:val="15"/>
                <w:u w:val="none"/>
                <w:lang w:val="en-US" w:eastAsia="zh-CN" w:bidi="ar"/>
              </w:rPr>
              <w:t>S≥95%(5</w:t>
            </w:r>
            <w:r>
              <w:rPr>
                <w:rStyle w:val="35"/>
                <w:lang w:val="en-US" w:eastAsia="zh-CN" w:bidi="ar"/>
              </w:rPr>
              <w:t>分)；90%≤S＜95%(3分）；80%≤S＜90%(2分）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Style w:val="35"/>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w:t>
            </w:r>
            <w:r>
              <w:rPr>
                <w:rStyle w:val="35"/>
                <w:lang w:val="en-US" w:eastAsia="zh-CN" w:bidi="ar"/>
              </w:rPr>
              <w:t>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投资</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控制</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w:t>
            </w:r>
            <w:r>
              <w:rPr>
                <w:rStyle w:val="35"/>
                <w:lang w:val="en-US" w:eastAsia="zh-CN" w:bidi="ar"/>
              </w:rPr>
              <w:t>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35"/>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w:t>
            </w:r>
            <w:r>
              <w:rPr>
                <w:rStyle w:val="35"/>
                <w:lang w:val="en-US" w:eastAsia="zh-CN" w:bidi="ar"/>
              </w:rPr>
              <w:t>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w:t>
            </w:r>
            <w:r>
              <w:rPr>
                <w:rStyle w:val="35"/>
                <w:lang w:val="en-US" w:eastAsia="zh-CN" w:bidi="ar"/>
              </w:rPr>
              <w:t>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生态</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w:t>
            </w:r>
            <w:r>
              <w:rPr>
                <w:rStyle w:val="35"/>
                <w:lang w:val="en-US" w:eastAsia="zh-CN" w:bidi="ar"/>
              </w:rPr>
              <w:t>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w:t>
            </w:r>
            <w:r>
              <w:rPr>
                <w:rStyle w:val="35"/>
                <w:lang w:val="en-US" w:eastAsia="zh-CN" w:bidi="ar"/>
              </w:rPr>
              <w:t>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w:t>
            </w:r>
            <w:r>
              <w:rPr>
                <w:rStyle w:val="35"/>
                <w:lang w:val="en-US" w:eastAsia="zh-CN" w:bidi="ar"/>
              </w:rPr>
              <w:t>(6分)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lang w:val="en-US" w:eastAsia="zh-CN" w:bidi="ar"/>
              </w:rPr>
            </w:pPr>
            <w:r>
              <w:rPr>
                <w:rFonts w:hint="eastAsia" w:ascii="宋体" w:hAnsi="宋体" w:eastAsia="宋体" w:cs="宋体"/>
                <w:i w:val="0"/>
                <w:color w:val="000000"/>
                <w:kern w:val="0"/>
                <w:sz w:val="15"/>
                <w:szCs w:val="15"/>
                <w:u w:val="none"/>
                <w:lang w:val="en-US" w:eastAsia="zh-CN" w:bidi="ar"/>
              </w:rPr>
              <w:t>R≥90%（</w:t>
            </w:r>
            <w:r>
              <w:rPr>
                <w:rStyle w:val="35"/>
                <w:lang w:val="en-US" w:eastAsia="zh-CN" w:bidi="ar"/>
              </w:rPr>
              <w:t>6分）；80%≤R＜90%(4分）；70%≤R＜80%(2分）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Style w:val="35"/>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方正仿宋简体" w:hAnsi="方正仿宋简体" w:eastAsia="方正仿宋简体" w:cs="方正仿宋简体"/>
                <w:i w:val="0"/>
                <w:color w:val="000000"/>
                <w:sz w:val="18"/>
                <w:szCs w:val="18"/>
                <w:u w:val="none"/>
              </w:rPr>
            </w:pPr>
            <w:r>
              <w:rPr>
                <w:rFonts w:hint="default" w:ascii="方正仿宋简体" w:hAnsi="方正仿宋简体" w:eastAsia="方正仿宋简体" w:cs="方正仿宋简体"/>
                <w:i w:val="0"/>
                <w:color w:val="000000"/>
                <w:kern w:val="0"/>
                <w:sz w:val="18"/>
                <w:szCs w:val="18"/>
                <w:u w:val="none"/>
                <w:lang w:val="en-US" w:eastAsia="zh-CN" w:bidi="ar"/>
              </w:rPr>
              <w:t>0</w:t>
            </w:r>
          </w:p>
        </w:tc>
        <w:tc>
          <w:tcPr>
            <w:tcW w:w="570"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i w:val="0"/>
          <w:color w:val="auto"/>
          <w:sz w:val="32"/>
          <w:szCs w:val="32"/>
          <w:u w:val="none"/>
          <w:lang w:val="en-US" w:eastAsia="zh-CN"/>
        </w:rPr>
      </w:pPr>
      <w:r>
        <w:rPr>
          <w:rFonts w:hint="eastAsia" w:ascii="宋体" w:hAnsi="宋体" w:eastAsia="宋体" w:cs="宋体"/>
          <w:b/>
          <w:i w:val="0"/>
          <w:color w:val="auto"/>
          <w:sz w:val="32"/>
          <w:szCs w:val="32"/>
          <w:u w:val="none"/>
          <w:lang w:val="en-US" w:eastAsia="zh-CN"/>
        </w:rPr>
        <w:br w:type="page"/>
      </w:r>
      <w:r>
        <w:rPr>
          <w:rFonts w:hint="eastAsia" w:ascii="宋体" w:hAnsi="宋体" w:eastAsia="宋体" w:cs="宋体"/>
          <w:b/>
          <w:i w:val="0"/>
          <w:color w:val="auto"/>
          <w:sz w:val="32"/>
          <w:szCs w:val="32"/>
          <w:u w:val="none"/>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附件：水资源管理与保护经费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二级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三级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98.4</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设立</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w:t>
            </w:r>
            <w:r>
              <w:rPr>
                <w:rFonts w:hint="eastAsia" w:ascii="宋体" w:hAnsi="宋体" w:cs="宋体"/>
                <w:i w:val="0"/>
                <w:color w:val="000000"/>
                <w:kern w:val="0"/>
                <w:sz w:val="15"/>
                <w:szCs w:val="15"/>
                <w:u w:val="none"/>
                <w:lang w:val="en-US" w:eastAsia="zh-CN" w:bidi="ar"/>
              </w:rPr>
              <w:t>会议纪要</w:t>
            </w:r>
            <w:r>
              <w:rPr>
                <w:rFonts w:hint="eastAsia" w:ascii="宋体" w:hAnsi="宋体" w:eastAsia="宋体" w:cs="宋体"/>
                <w:i w:val="0"/>
                <w:color w:val="000000"/>
                <w:kern w:val="0"/>
                <w:sz w:val="15"/>
                <w:szCs w:val="15"/>
                <w:u w:val="none"/>
                <w:lang w:val="en-US" w:eastAsia="zh-CN" w:bidi="ar"/>
              </w:rPr>
              <w:t>（1分）；无任何资料（0分）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安排</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标准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预算</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制度</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组织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Style w:val="37"/>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标 </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T≥100%(5分)；90%≤T＜100%(3分）</w:t>
            </w:r>
            <w:r>
              <w:rPr>
                <w:rStyle w:val="37"/>
                <w:lang w:val="en-US" w:eastAsia="zh-CN" w:bidi="ar"/>
              </w:rPr>
              <w:t>；</w:t>
            </w:r>
            <w:r>
              <w:rPr>
                <w:rFonts w:hint="eastAsia" w:ascii="宋体" w:hAnsi="宋体" w:eastAsia="宋体" w:cs="宋体"/>
                <w:i w:val="0"/>
                <w:color w:val="000000"/>
                <w:kern w:val="0"/>
                <w:sz w:val="15"/>
                <w:szCs w:val="15"/>
                <w:u w:val="none"/>
                <w:lang w:val="en-US" w:eastAsia="zh-CN" w:bidi="ar"/>
              </w:rPr>
              <w:t>80%≤T＜90%(2分）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质量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S≥95%(5分)；90%≤S＜95%(3分）；80%≤S＜90%(2分）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投资</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控制</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生态</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R≥90%（6分）；80%≤R＜90%(4分）；70%≤R＜80%(2分）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附件：防汛经费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二级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三级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98.4</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设立</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w:t>
            </w:r>
            <w:bookmarkStart w:id="117" w:name="_GoBack"/>
            <w:bookmarkEnd w:id="117"/>
            <w:r>
              <w:rPr>
                <w:rFonts w:hint="eastAsia" w:ascii="宋体" w:hAnsi="宋体" w:cs="宋体"/>
                <w:i w:val="0"/>
                <w:color w:val="000000"/>
                <w:kern w:val="0"/>
                <w:sz w:val="15"/>
                <w:szCs w:val="15"/>
                <w:u w:val="none"/>
                <w:lang w:val="en-US" w:eastAsia="zh-CN" w:bidi="ar"/>
              </w:rPr>
              <w:t>会议纪要</w:t>
            </w:r>
            <w:r>
              <w:rPr>
                <w:rFonts w:hint="eastAsia" w:ascii="宋体" w:hAnsi="宋体" w:eastAsia="宋体" w:cs="宋体"/>
                <w:i w:val="0"/>
                <w:color w:val="000000"/>
                <w:kern w:val="0"/>
                <w:sz w:val="15"/>
                <w:szCs w:val="15"/>
                <w:u w:val="none"/>
                <w:lang w:val="en-US" w:eastAsia="zh-CN" w:bidi="ar"/>
              </w:rPr>
              <w:t>（1分）；无任何资料（0分）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安排</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标准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预算</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制度</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组织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Style w:val="38"/>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标 </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T≥100%(5分)；90%≤T＜100%(3分）</w:t>
            </w:r>
            <w:r>
              <w:rPr>
                <w:rStyle w:val="38"/>
                <w:lang w:val="en-US" w:eastAsia="zh-CN" w:bidi="ar"/>
              </w:rPr>
              <w:t>；</w:t>
            </w:r>
            <w:r>
              <w:rPr>
                <w:rFonts w:hint="eastAsia" w:ascii="宋体" w:hAnsi="宋体" w:eastAsia="宋体" w:cs="宋体"/>
                <w:i w:val="0"/>
                <w:color w:val="000000"/>
                <w:kern w:val="0"/>
                <w:sz w:val="15"/>
                <w:szCs w:val="15"/>
                <w:u w:val="none"/>
                <w:lang w:val="en-US" w:eastAsia="zh-CN" w:bidi="ar"/>
              </w:rPr>
              <w:t>80%≤T＜90%(2分）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质量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S≥95%(5分)；90%≤S＜95%(3分）；80%≤S＜90%(2分）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投资</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控制</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生态</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R≥90%（6分）；80%≤R＜90%(4分）；70%≤R＜80%(2分）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shd w:val="clear" w:color="auto" w:fill="auto"/>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附件：河（湖）长制工作经费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二级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三级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97.2</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设立</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w:t>
            </w:r>
            <w:r>
              <w:rPr>
                <w:rFonts w:hint="eastAsia" w:ascii="宋体" w:hAnsi="宋体" w:cs="宋体"/>
                <w:i w:val="0"/>
                <w:color w:val="000000"/>
                <w:kern w:val="0"/>
                <w:sz w:val="15"/>
                <w:szCs w:val="15"/>
                <w:u w:val="none"/>
                <w:lang w:val="en-US" w:eastAsia="zh-CN" w:bidi="ar"/>
              </w:rPr>
              <w:t>会议纪要</w:t>
            </w:r>
            <w:r>
              <w:rPr>
                <w:rFonts w:hint="eastAsia" w:ascii="宋体" w:hAnsi="宋体" w:eastAsia="宋体" w:cs="宋体"/>
                <w:i w:val="0"/>
                <w:color w:val="000000"/>
                <w:kern w:val="0"/>
                <w:sz w:val="15"/>
                <w:szCs w:val="15"/>
                <w:u w:val="none"/>
                <w:lang w:val="en-US" w:eastAsia="zh-CN" w:bidi="ar"/>
              </w:rPr>
              <w:t>（1分）；无任何资料（0分）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安排</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标准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预算</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制度</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组织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标 </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T≥100%(5分)；90%≤T＜100%(3分）</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80%≤T＜90%(2分）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质量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S≥95%(5分)；90%≤S＜95%(3分）；80%≤S＜90%(2分）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投资</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控制</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生态</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R≥90%（6分）；80%≤R＜90%(4分）；70%≤R＜80%(2分）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附件：水土保持专项经费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二级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三级</w:t>
            </w:r>
          </w:p>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98.4</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设立</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立项</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w:t>
            </w:r>
            <w:r>
              <w:rPr>
                <w:rFonts w:hint="eastAsia" w:ascii="宋体" w:hAnsi="宋体" w:cs="宋体"/>
                <w:i w:val="0"/>
                <w:color w:val="000000"/>
                <w:kern w:val="0"/>
                <w:sz w:val="15"/>
                <w:szCs w:val="15"/>
                <w:u w:val="none"/>
                <w:lang w:val="en-US" w:eastAsia="zh-CN" w:bidi="ar"/>
              </w:rPr>
              <w:t>会议纪要</w:t>
            </w:r>
            <w:r>
              <w:rPr>
                <w:rFonts w:hint="eastAsia" w:ascii="宋体" w:hAnsi="宋体" w:eastAsia="宋体" w:cs="宋体"/>
                <w:i w:val="0"/>
                <w:color w:val="000000"/>
                <w:kern w:val="0"/>
                <w:sz w:val="15"/>
                <w:szCs w:val="15"/>
                <w:u w:val="none"/>
                <w:lang w:val="en-US" w:eastAsia="zh-CN" w:bidi="ar"/>
              </w:rPr>
              <w:t>（1分）；无任何资料（0分）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安排</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标准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预算</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制度</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组织</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标 </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T≥100%(5分)；90%≤T＜100%(3分）</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80%≤T＜90%(2分）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质量</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S≥95%(5分)；90%≤S＜95%(3分）；80%≤S＜90%(2分）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时效</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投资</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控制</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生态</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R≥90%（6分）；80%≤R＜90%(4分）；70%≤R＜80%(2分）</w:t>
            </w:r>
          </w:p>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750"/>
        <w:gridCol w:w="1590"/>
        <w:gridCol w:w="1965"/>
        <w:gridCol w:w="2100"/>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outlineLvl w:val="9"/>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keepNext w:val="0"/>
              <w:keepLines w:val="0"/>
              <w:pageBreakBefore w:val="0"/>
              <w:widowControl/>
              <w:suppressLineNumbers w:val="0"/>
              <w:kinsoku/>
              <w:wordWrap/>
              <w:overflowPunct/>
              <w:topLinePunct w:val="0"/>
              <w:bidi w:val="0"/>
              <w:spacing w:beforeAutospacing="0" w:line="520" w:lineRule="exact"/>
              <w:jc w:val="both"/>
              <w:textAlignment w:val="center"/>
              <w:outlineLvl w:val="9"/>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303001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巴中市柳津湖运行保护中心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完成闸坝、堤防等水利工程安全运行及管理，创建巴河美好的水生态环境</w:t>
            </w:r>
          </w:p>
        </w:tc>
        <w:tc>
          <w:tcPr>
            <w:tcW w:w="4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完成闸坝、堤防等水利工程安全运行及管理，创建巴河美好的水生态环境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1.大佛寺至李家湾闸坝14公里河道堤防 2.李家湾大一型水闸，大佛寺拦河坝</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14公里河道水面及岸坡保洁、绿化管堤防及闸坝水利工程运行管理护 </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14公里河道水面及岸坡保洁、绿化管堤防及闸坝水利工程运行管理护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1.保证闸坝、堤防等水利工程安全运行2.保证城区河道景观效果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保证水利工程安全运行，防洪度汛安全</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草盛花香、四季树木葱郁，景色宜人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保证水利工程安全运行，防洪度汛安全</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草盛花香、四季树木葱郁，景色宜人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1.李家湾闸坝、大佛寺拦河坝、14公里河道两岸堤防安全运行2.河道绿化景观维护及岸坡水面保洁。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全年常态化确保</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全年常态化确保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tabs>
                <w:tab w:val="left" w:pos="237"/>
              </w:tabs>
              <w:kinsoku/>
              <w:wordWrap/>
              <w:overflowPunct/>
              <w:topLinePunct w:val="0"/>
              <w:autoSpaceDE/>
              <w:autoSpaceDN/>
              <w:bidi w:val="0"/>
              <w:adjustRightInd/>
              <w:snapToGrid/>
              <w:spacing w:line="520" w:lineRule="exact"/>
              <w:jc w:val="left"/>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rPr>
              <w:t>河道保洁及绿化管护</w:t>
            </w:r>
            <w:r>
              <w:rPr>
                <w:rFonts w:hint="eastAsia" w:ascii="仿宋_GB2312" w:hAnsi="仿宋_GB2312" w:eastAsia="仿宋_GB2312" w:cs="仿宋_GB2312"/>
                <w:i w:val="0"/>
                <w:color w:val="auto"/>
                <w:sz w:val="28"/>
                <w:szCs w:val="28"/>
                <w:u w:val="none"/>
                <w:lang w:eastAsia="zh-CN"/>
              </w:rPr>
              <w:t>、堤防维修管护、</w:t>
            </w:r>
            <w:r>
              <w:rPr>
                <w:rFonts w:hint="eastAsia" w:ascii="仿宋_GB2312" w:hAnsi="仿宋_GB2312" w:eastAsia="仿宋_GB2312" w:cs="仿宋_GB2312"/>
                <w:i w:val="0"/>
                <w:color w:val="auto"/>
                <w:sz w:val="28"/>
                <w:szCs w:val="28"/>
                <w:u w:val="none"/>
              </w:rPr>
              <w:t>闸坝运行管理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138</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1.水利工程安全运行，城区防汛安全2.河道环境建设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保证防水利工程安全运行及主城区安全度汛</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国家级水利风景区建设再上新台阶，给市民提供优美的河道环境</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保证防水利工程安全运行及主城区安全度汛</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国家级水利风景区建设再上新台阶，给市民提供优美的河道环境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1.绿化景观环境2.河道水环境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维护巴河沿岸花草树木，确保生态环境优美</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河道水生态及观赏效果</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维护巴河沿岸花草树木，确保生态环境优美</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河道水生态及观赏效果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国家级水利风景区建设要求</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长期满足市民对巴河水景需要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长期满足市民对巴河水景需要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群众满意度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≥100% </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≥100% </w:t>
            </w:r>
          </w:p>
        </w:tc>
      </w:tr>
    </w:tbl>
    <w:p>
      <w:pPr>
        <w:keepNext w:val="0"/>
        <w:keepLines w:val="0"/>
        <w:pageBreakBefore w:val="0"/>
        <w:widowControl/>
        <w:kinsoku/>
        <w:wordWrap/>
        <w:overflowPunct/>
        <w:topLinePunct w:val="0"/>
        <w:autoSpaceDE/>
        <w:autoSpaceDN/>
        <w:bidi w:val="0"/>
        <w:adjustRightInd w:val="0"/>
        <w:snapToGrid w:val="0"/>
        <w:spacing w:afterAutospacing="0" w:line="52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lang w:val="en-US" w:eastAsia="zh-CN"/>
        </w:rPr>
      </w:pPr>
      <w:r>
        <w:rPr>
          <w:rFonts w:hint="eastAsia" w:ascii="宋体" w:hAnsi="宋体" w:eastAsia="宋体" w:cs="宋体"/>
          <w:b/>
          <w:i w:val="0"/>
          <w:color w:val="auto"/>
          <w:sz w:val="32"/>
          <w:szCs w:val="32"/>
          <w:u w:val="none"/>
          <w:lang w:val="en-US" w:eastAsia="zh-CN"/>
        </w:rPr>
        <w:br w:type="page"/>
      </w:r>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巴中市化成水库</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运行保护中心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实施左右干渠水毁修复，片石挡墙工程</w:t>
            </w:r>
            <w:r>
              <w:rPr>
                <w:rFonts w:hint="eastAsia" w:ascii="宋体" w:hAnsi="宋体" w:cs="宋体"/>
                <w:i w:val="0"/>
                <w:color w:val="auto"/>
                <w:sz w:val="24"/>
                <w:szCs w:val="24"/>
                <w:u w:val="none"/>
                <w:lang w:val="en-US" w:eastAsia="zh-CN"/>
              </w:rPr>
              <w:t>30米，</w:t>
            </w:r>
            <w:r>
              <w:rPr>
                <w:rFonts w:hint="eastAsia" w:ascii="宋体" w:hAnsi="宋体" w:cs="宋体"/>
                <w:i w:val="0"/>
                <w:color w:val="auto"/>
                <w:sz w:val="24"/>
                <w:szCs w:val="24"/>
                <w:u w:val="none"/>
                <w:lang w:eastAsia="zh-CN"/>
              </w:rPr>
              <w:t>左干渠整治</w:t>
            </w:r>
            <w:r>
              <w:rPr>
                <w:rFonts w:hint="eastAsia" w:ascii="宋体" w:hAnsi="宋体" w:cs="宋体"/>
                <w:i w:val="0"/>
                <w:color w:val="auto"/>
                <w:sz w:val="24"/>
                <w:szCs w:val="24"/>
                <w:u w:val="none"/>
                <w:lang w:val="en-US" w:eastAsia="zh-CN"/>
              </w:rPr>
              <w:t>105米，右干渠整治652米等</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实施左右干渠水毁修复，片石挡墙工程</w:t>
            </w:r>
            <w:r>
              <w:rPr>
                <w:rFonts w:hint="eastAsia" w:ascii="宋体" w:hAnsi="宋体" w:cs="宋体"/>
                <w:i w:val="0"/>
                <w:color w:val="auto"/>
                <w:sz w:val="24"/>
                <w:szCs w:val="24"/>
                <w:u w:val="none"/>
                <w:lang w:val="en-US" w:eastAsia="zh-CN"/>
              </w:rPr>
              <w:t>30米，</w:t>
            </w:r>
            <w:r>
              <w:rPr>
                <w:rFonts w:hint="eastAsia" w:ascii="宋体" w:hAnsi="宋体" w:cs="宋体"/>
                <w:i w:val="0"/>
                <w:color w:val="auto"/>
                <w:sz w:val="24"/>
                <w:szCs w:val="24"/>
                <w:u w:val="none"/>
                <w:lang w:eastAsia="zh-CN"/>
              </w:rPr>
              <w:t>左干渠整治</w:t>
            </w:r>
            <w:r>
              <w:rPr>
                <w:rFonts w:hint="eastAsia" w:ascii="宋体" w:hAnsi="宋体" w:cs="宋体"/>
                <w:i w:val="0"/>
                <w:color w:val="auto"/>
                <w:sz w:val="24"/>
                <w:szCs w:val="24"/>
                <w:u w:val="none"/>
                <w:lang w:val="en-US" w:eastAsia="zh-CN"/>
              </w:rPr>
              <w:t>105米，右干渠整治652米，青石栏杆48米等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整治左右干渠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757米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完成左右干渠整治</w:t>
            </w:r>
            <w:r>
              <w:rPr>
                <w:rFonts w:hint="eastAsia" w:ascii="仿宋_GB2312" w:hAnsi="仿宋_GB2312" w:eastAsia="仿宋_GB2312" w:cs="仿宋_GB2312"/>
                <w:i w:val="0"/>
                <w:color w:val="auto"/>
                <w:sz w:val="28"/>
                <w:szCs w:val="28"/>
                <w:u w:val="none"/>
                <w:lang w:val="en-US" w:eastAsia="zh-CN"/>
              </w:rPr>
              <w:t>757米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符合设计规范、合格率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rPr>
            </w:pPr>
            <w:r>
              <w:rPr>
                <w:rFonts w:hint="eastAsia" w:ascii="仿宋_GB2312" w:hAnsi="仿宋_GB2312" w:eastAsia="仿宋_GB2312" w:cs="仿宋_GB2312"/>
                <w:i w:val="0"/>
                <w:color w:val="auto"/>
                <w:sz w:val="28"/>
                <w:szCs w:val="28"/>
                <w:u w:val="none"/>
                <w:lang w:eastAsia="zh-CN"/>
              </w:rPr>
              <w:t>符合设计规范，合格率》</w:t>
            </w:r>
            <w:r>
              <w:rPr>
                <w:rFonts w:hint="eastAsia" w:ascii="仿宋_GB2312" w:hAnsi="仿宋_GB2312" w:eastAsia="仿宋_GB2312" w:cs="仿宋_GB2312"/>
                <w:i w:val="0"/>
                <w:color w:val="auto"/>
                <w:sz w:val="28"/>
                <w:szCs w:val="2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生态环境影响生态效益发挥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受益群众满意度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95%</w:t>
            </w:r>
          </w:p>
        </w:tc>
      </w:tr>
    </w:tbl>
    <w:p>
      <w:pPr>
        <w:pageBreakBefore w:val="0"/>
        <w:widowControl/>
        <w:kinsoku/>
        <w:wordWrap/>
        <w:overflowPunct/>
        <w:topLinePunct w:val="0"/>
        <w:bidi w:val="0"/>
        <w:adjustRightInd w:val="0"/>
        <w:snapToGrid w:val="0"/>
        <w:spacing w:line="520" w:lineRule="exact"/>
        <w:contextualSpacing/>
        <w:jc w:val="left"/>
        <w:rPr>
          <w:rFonts w:hint="eastAsia" w:ascii="仿宋_GB2312" w:hAnsi="宋体" w:eastAsia="仿宋_GB2312" w:cs="宋体"/>
          <w:color w:val="auto"/>
          <w:kern w:val="0"/>
          <w:sz w:val="32"/>
          <w:szCs w:val="32"/>
          <w:highlight w:val="none"/>
          <w:shd w:val="clear" w:color="auto" w:fill="FFFFFF"/>
          <w:lang w:val="en-US" w:eastAsia="zh-CN"/>
        </w:rPr>
      </w:pPr>
    </w:p>
    <w:p>
      <w:pPr>
        <w:pageBreakBefore w:val="0"/>
        <w:widowControl/>
        <w:kinsoku/>
        <w:wordWrap/>
        <w:overflowPunct/>
        <w:topLinePunct w:val="0"/>
        <w:bidi w:val="0"/>
        <w:adjustRightInd w:val="0"/>
        <w:snapToGrid w:val="0"/>
        <w:spacing w:line="520" w:lineRule="exact"/>
        <w:contextualSpacing/>
        <w:jc w:val="left"/>
        <w:rPr>
          <w:color w:val="auto"/>
          <w:highlight w:val="none"/>
        </w:rPr>
      </w:pPr>
      <w:r>
        <w:rPr>
          <w:rFonts w:hint="eastAsia" w:ascii="仿宋_GB2312" w:hAnsi="宋体" w:eastAsia="仿宋_GB2312" w:cs="宋体"/>
          <w:color w:val="auto"/>
          <w:kern w:val="0"/>
          <w:sz w:val="32"/>
          <w:szCs w:val="32"/>
          <w:highlight w:val="none"/>
          <w:shd w:val="clear" w:color="auto" w:fill="FFFFFF"/>
          <w:lang w:val="en-US" w:eastAsia="zh-CN"/>
        </w:rPr>
        <w:t>（注：市水利局机关及江家口水库建设管理中心没有100万元以上特定目标类项目）</w:t>
      </w:r>
    </w:p>
    <w:p>
      <w:pPr>
        <w:pageBreakBefore w:val="0"/>
        <w:widowControl/>
        <w:kinsoku/>
        <w:wordWrap/>
        <w:overflowPunct/>
        <w:topLinePunct w:val="0"/>
        <w:bidi w:val="0"/>
        <w:spacing w:line="520" w:lineRule="exact"/>
        <w:jc w:val="left"/>
        <w:rPr>
          <w:rStyle w:val="29"/>
          <w:rFonts w:ascii="黑体" w:hAnsi="黑体" w:eastAsia="黑体"/>
          <w:b w:val="0"/>
          <w:color w:val="auto"/>
          <w:highlight w:val="none"/>
        </w:rPr>
      </w:pPr>
      <w:r>
        <w:rPr>
          <w:rStyle w:val="29"/>
          <w:rFonts w:ascii="黑体" w:hAnsi="黑体" w:eastAsia="黑体"/>
          <w:b w:val="0"/>
          <w:color w:val="auto"/>
          <w:highlight w:val="none"/>
        </w:rPr>
        <w:br w:type="page"/>
      </w:r>
    </w:p>
    <w:p>
      <w:pPr>
        <w:pageBreakBefore w:val="0"/>
        <w:kinsoku/>
        <w:wordWrap/>
        <w:overflowPunct/>
        <w:topLinePunct w:val="0"/>
        <w:bidi w:val="0"/>
        <w:spacing w:line="520" w:lineRule="exact"/>
        <w:jc w:val="center"/>
        <w:outlineLvl w:val="0"/>
        <w:rPr>
          <w:rFonts w:hint="eastAsia" w:ascii="仿宋" w:hAnsi="仿宋" w:eastAsia="仿宋"/>
          <w:b w:val="0"/>
          <w:color w:val="auto"/>
          <w:highlight w:val="none"/>
        </w:rPr>
      </w:pPr>
      <w:bookmarkStart w:id="88" w:name="_Toc15396618"/>
      <w:bookmarkStart w:id="89" w:name="_Toc666555060"/>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85"/>
      <w:bookmarkEnd w:id="88"/>
      <w:bookmarkEnd w:id="89"/>
      <w:bookmarkStart w:id="90" w:name="_Toc15396619"/>
    </w:p>
    <w:p>
      <w:pPr>
        <w:pStyle w:val="6"/>
        <w:pageBreakBefore w:val="0"/>
        <w:kinsoku/>
        <w:wordWrap/>
        <w:overflowPunct/>
        <w:topLinePunct w:val="0"/>
        <w:bidi w:val="0"/>
        <w:spacing w:line="520" w:lineRule="exact"/>
        <w:rPr>
          <w:rFonts w:ascii="仿宋" w:hAnsi="仿宋" w:eastAsia="仿宋"/>
          <w:color w:val="auto"/>
          <w:highlight w:val="none"/>
        </w:rPr>
      </w:pPr>
      <w:bookmarkStart w:id="91" w:name="_Toc983444279"/>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90"/>
      <w:bookmarkEnd w:id="91"/>
    </w:p>
    <w:p>
      <w:pPr>
        <w:pStyle w:val="6"/>
        <w:pageBreakBefore w:val="0"/>
        <w:kinsoku/>
        <w:wordWrap/>
        <w:overflowPunct/>
        <w:topLinePunct w:val="0"/>
        <w:bidi w:val="0"/>
        <w:spacing w:line="520" w:lineRule="exact"/>
        <w:rPr>
          <w:rFonts w:ascii="仿宋" w:hAnsi="仿宋" w:eastAsia="仿宋"/>
          <w:color w:val="auto"/>
          <w:highlight w:val="none"/>
        </w:rPr>
      </w:pPr>
      <w:bookmarkStart w:id="92" w:name="_Toc15396620"/>
      <w:bookmarkStart w:id="93" w:name="_Toc872337912"/>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92"/>
      <w:bookmarkEnd w:id="93"/>
    </w:p>
    <w:p>
      <w:pPr>
        <w:pStyle w:val="6"/>
        <w:pageBreakBefore w:val="0"/>
        <w:kinsoku/>
        <w:wordWrap/>
        <w:overflowPunct/>
        <w:topLinePunct w:val="0"/>
        <w:bidi w:val="0"/>
        <w:spacing w:line="520" w:lineRule="exact"/>
        <w:rPr>
          <w:rFonts w:ascii="仿宋" w:hAnsi="仿宋" w:eastAsia="仿宋"/>
          <w:color w:val="auto"/>
          <w:highlight w:val="none"/>
        </w:rPr>
      </w:pPr>
      <w:bookmarkStart w:id="94" w:name="_Toc15396621"/>
      <w:bookmarkStart w:id="95" w:name="_Toc445176485"/>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94"/>
      <w:bookmarkEnd w:id="95"/>
    </w:p>
    <w:p>
      <w:pPr>
        <w:pStyle w:val="6"/>
        <w:pageBreakBefore w:val="0"/>
        <w:kinsoku/>
        <w:wordWrap/>
        <w:overflowPunct/>
        <w:topLinePunct w:val="0"/>
        <w:bidi w:val="0"/>
        <w:spacing w:line="520" w:lineRule="exact"/>
        <w:rPr>
          <w:rFonts w:ascii="仿宋" w:hAnsi="仿宋" w:eastAsia="仿宋"/>
          <w:b w:val="0"/>
          <w:color w:val="auto"/>
          <w:highlight w:val="none"/>
        </w:rPr>
      </w:pPr>
      <w:bookmarkStart w:id="96" w:name="_Toc813066076"/>
      <w:bookmarkStart w:id="97"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96"/>
      <w:bookmarkEnd w:id="97"/>
    </w:p>
    <w:p>
      <w:pPr>
        <w:pStyle w:val="6"/>
        <w:pageBreakBefore w:val="0"/>
        <w:kinsoku/>
        <w:wordWrap/>
        <w:overflowPunct/>
        <w:topLinePunct w:val="0"/>
        <w:bidi w:val="0"/>
        <w:spacing w:line="520" w:lineRule="exact"/>
        <w:rPr>
          <w:rStyle w:val="30"/>
          <w:rFonts w:ascii="仿宋" w:hAnsi="仿宋" w:eastAsia="仿宋"/>
          <w:b w:val="0"/>
          <w:bCs w:val="0"/>
          <w:color w:val="auto"/>
          <w:highlight w:val="none"/>
        </w:rPr>
      </w:pPr>
      <w:bookmarkStart w:id="98" w:name="_Toc15396623"/>
      <w:bookmarkStart w:id="99" w:name="_Toc1483334701"/>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98"/>
      <w:bookmarkEnd w:id="99"/>
      <w:bookmarkStart w:id="100" w:name="_Toc15396624"/>
    </w:p>
    <w:p>
      <w:pPr>
        <w:pStyle w:val="6"/>
        <w:pageBreakBefore w:val="0"/>
        <w:kinsoku/>
        <w:wordWrap/>
        <w:overflowPunct/>
        <w:topLinePunct w:val="0"/>
        <w:bidi w:val="0"/>
        <w:spacing w:line="520" w:lineRule="exact"/>
        <w:rPr>
          <w:rFonts w:ascii="仿宋" w:hAnsi="仿宋" w:eastAsia="仿宋"/>
          <w:color w:val="auto"/>
          <w:highlight w:val="none"/>
        </w:rPr>
      </w:pPr>
      <w:bookmarkStart w:id="101" w:name="_Toc1704536006"/>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00"/>
      <w:bookmarkEnd w:id="101"/>
    </w:p>
    <w:p>
      <w:pPr>
        <w:pStyle w:val="6"/>
        <w:pageBreakBefore w:val="0"/>
        <w:kinsoku/>
        <w:wordWrap/>
        <w:overflowPunct/>
        <w:topLinePunct w:val="0"/>
        <w:bidi w:val="0"/>
        <w:spacing w:line="520" w:lineRule="exact"/>
        <w:rPr>
          <w:rFonts w:ascii="仿宋" w:hAnsi="仿宋" w:eastAsia="仿宋"/>
          <w:color w:val="auto"/>
          <w:highlight w:val="none"/>
        </w:rPr>
      </w:pPr>
      <w:bookmarkStart w:id="102" w:name="_Toc495480293"/>
      <w:bookmarkStart w:id="103"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02"/>
      <w:bookmarkEnd w:id="103"/>
    </w:p>
    <w:p>
      <w:pPr>
        <w:pStyle w:val="6"/>
        <w:pageBreakBefore w:val="0"/>
        <w:kinsoku/>
        <w:wordWrap/>
        <w:overflowPunct/>
        <w:topLinePunct w:val="0"/>
        <w:bidi w:val="0"/>
        <w:spacing w:line="520" w:lineRule="exact"/>
        <w:rPr>
          <w:rFonts w:ascii="仿宋" w:hAnsi="仿宋" w:eastAsia="仿宋"/>
          <w:color w:val="auto"/>
          <w:highlight w:val="none"/>
        </w:rPr>
      </w:pPr>
      <w:bookmarkStart w:id="104" w:name="_Toc1764036126"/>
      <w:bookmarkStart w:id="105"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04"/>
      <w:bookmarkEnd w:id="105"/>
    </w:p>
    <w:p>
      <w:pPr>
        <w:pStyle w:val="6"/>
        <w:pageBreakBefore w:val="0"/>
        <w:kinsoku/>
        <w:wordWrap/>
        <w:overflowPunct/>
        <w:topLinePunct w:val="0"/>
        <w:bidi w:val="0"/>
        <w:spacing w:line="520" w:lineRule="exact"/>
        <w:rPr>
          <w:rFonts w:ascii="仿宋" w:hAnsi="仿宋" w:eastAsia="仿宋"/>
          <w:color w:val="auto"/>
          <w:highlight w:val="none"/>
        </w:rPr>
      </w:pPr>
      <w:bookmarkStart w:id="106" w:name="_Toc112529816"/>
      <w:bookmarkStart w:id="107"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06"/>
      <w:bookmarkEnd w:id="107"/>
    </w:p>
    <w:p>
      <w:pPr>
        <w:pStyle w:val="6"/>
        <w:pageBreakBefore w:val="0"/>
        <w:kinsoku/>
        <w:wordWrap/>
        <w:overflowPunct/>
        <w:topLinePunct w:val="0"/>
        <w:bidi w:val="0"/>
        <w:spacing w:line="520" w:lineRule="exact"/>
        <w:rPr>
          <w:rFonts w:ascii="仿宋" w:hAnsi="仿宋" w:eastAsia="仿宋"/>
          <w:color w:val="auto"/>
          <w:highlight w:val="none"/>
        </w:rPr>
      </w:pPr>
      <w:bookmarkStart w:id="108" w:name="_Toc15396628"/>
      <w:bookmarkStart w:id="109" w:name="_Toc1725276916"/>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108"/>
      <w:bookmarkEnd w:id="109"/>
    </w:p>
    <w:p>
      <w:pPr>
        <w:pStyle w:val="6"/>
        <w:pageBreakBefore w:val="0"/>
        <w:kinsoku/>
        <w:wordWrap/>
        <w:overflowPunct/>
        <w:topLinePunct w:val="0"/>
        <w:bidi w:val="0"/>
        <w:spacing w:line="520" w:lineRule="exact"/>
        <w:rPr>
          <w:rFonts w:ascii="仿宋" w:hAnsi="仿宋" w:eastAsia="仿宋"/>
          <w:color w:val="auto"/>
          <w:highlight w:val="none"/>
        </w:rPr>
      </w:pPr>
      <w:bookmarkStart w:id="110" w:name="_Toc15396629"/>
      <w:bookmarkStart w:id="111" w:name="_Toc978027577"/>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10"/>
      <w:bookmarkEnd w:id="111"/>
    </w:p>
    <w:p>
      <w:pPr>
        <w:pStyle w:val="6"/>
        <w:pageBreakBefore w:val="0"/>
        <w:kinsoku/>
        <w:wordWrap/>
        <w:overflowPunct/>
        <w:topLinePunct w:val="0"/>
        <w:bidi w:val="0"/>
        <w:spacing w:line="520" w:lineRule="exact"/>
        <w:rPr>
          <w:rFonts w:ascii="仿宋" w:hAnsi="仿宋" w:eastAsia="仿宋"/>
          <w:color w:val="auto"/>
          <w:highlight w:val="none"/>
        </w:rPr>
      </w:pPr>
      <w:bookmarkStart w:id="112" w:name="_Toc15396630"/>
      <w:bookmarkStart w:id="113" w:name="_Toc1174110456"/>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112"/>
      <w:bookmarkEnd w:id="113"/>
    </w:p>
    <w:p>
      <w:pPr>
        <w:pStyle w:val="6"/>
        <w:pageBreakBefore w:val="0"/>
        <w:kinsoku/>
        <w:wordWrap/>
        <w:overflowPunct/>
        <w:topLinePunct w:val="0"/>
        <w:bidi w:val="0"/>
        <w:spacing w:line="520" w:lineRule="exact"/>
        <w:rPr>
          <w:rStyle w:val="30"/>
          <w:rFonts w:hint="eastAsia" w:ascii="仿宋" w:hAnsi="仿宋" w:eastAsia="仿宋"/>
          <w:b w:val="0"/>
          <w:bCs w:val="0"/>
          <w:color w:val="auto"/>
          <w:highlight w:val="none"/>
        </w:rPr>
      </w:pPr>
      <w:bookmarkStart w:id="114" w:name="_Toc15396631"/>
      <w:bookmarkStart w:id="115" w:name="_Toc329181930"/>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14"/>
      <w:bookmarkEnd w:id="115"/>
    </w:p>
    <w:p>
      <w:pPr>
        <w:pageBreakBefore w:val="0"/>
        <w:kinsoku/>
        <w:wordWrap/>
        <w:overflowPunct/>
        <w:topLinePunct w:val="0"/>
        <w:bidi w:val="0"/>
        <w:spacing w:line="520" w:lineRule="exact"/>
        <w:outlineLvl w:val="1"/>
        <w:rPr>
          <w:rFonts w:hint="eastAsia" w:eastAsia="仿宋"/>
          <w:color w:val="auto"/>
          <w:highlight w:val="none"/>
          <w:lang w:eastAsia="zh-CN"/>
        </w:rPr>
      </w:pPr>
      <w:bookmarkStart w:id="116" w:name="_Toc2020620680"/>
      <w:r>
        <w:rPr>
          <w:rStyle w:val="30"/>
          <w:rFonts w:hint="eastAsia" w:ascii="仿宋" w:hAnsi="仿宋" w:eastAsia="仿宋"/>
          <w:b w:val="0"/>
          <w:bCs w:val="0"/>
          <w:color w:val="auto"/>
          <w:highlight w:val="none"/>
          <w:lang w:eastAsia="zh-CN"/>
        </w:rPr>
        <w:t>十四、国有资本经营预算财政拨款支出决算表</w:t>
      </w:r>
      <w:bookmarkEnd w:id="116"/>
    </w:p>
    <w:sectPr>
      <w:footerReference r:id="rId6" w:type="first"/>
      <w:footerReference r:id="rId5"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7FFAEFF" w:usb1="F9DFFFFF" w:usb2="0000007F" w:usb3="00000000" w:csb0="203F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E794925"/>
    <w:multiLevelType w:val="singleLevel"/>
    <w:tmpl w:val="3E794925"/>
    <w:lvl w:ilvl="0" w:tentative="0">
      <w:start w:val="3"/>
      <w:numFmt w:val="chineseCounting"/>
      <w:suff w:val="nothing"/>
      <w:lvlText w:val="（%1）"/>
      <w:lvlJc w:val="left"/>
      <w:rPr>
        <w:rFonts w:hint="eastAsia"/>
      </w:rPr>
    </w:lvl>
  </w:abstractNum>
  <w:abstractNum w:abstractNumId="4">
    <w:nsid w:val="67CC62FC"/>
    <w:multiLevelType w:val="singleLevel"/>
    <w:tmpl w:val="67CC62FC"/>
    <w:lvl w:ilvl="0" w:tentative="0">
      <w:start w:val="2"/>
      <w:numFmt w:val="chineseCounting"/>
      <w:suff w:val="nothing"/>
      <w:lvlText w:val="（%1）"/>
      <w:lvlJc w:val="left"/>
      <w:pPr>
        <w:tabs>
          <w:tab w:val="left" w:pos="0"/>
        </w:tabs>
        <w:ind w:left="0" w:firstLine="0"/>
      </w:pPr>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GY0YjVkNTg1YTZlN2MyYmI1YzQ3ZjRjZjA0OD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101860EC"/>
    <w:rsid w:val="10C055FF"/>
    <w:rsid w:val="118107EC"/>
    <w:rsid w:val="13D50BC4"/>
    <w:rsid w:val="16BB723D"/>
    <w:rsid w:val="1BE8440E"/>
    <w:rsid w:val="1D155CEE"/>
    <w:rsid w:val="23860B96"/>
    <w:rsid w:val="240371BF"/>
    <w:rsid w:val="27B40B22"/>
    <w:rsid w:val="29FD04D3"/>
    <w:rsid w:val="2C8A61B5"/>
    <w:rsid w:val="2DF04E50"/>
    <w:rsid w:val="319F7F4E"/>
    <w:rsid w:val="36AA5135"/>
    <w:rsid w:val="37E16F03"/>
    <w:rsid w:val="3D98207C"/>
    <w:rsid w:val="44E268DA"/>
    <w:rsid w:val="4A627F82"/>
    <w:rsid w:val="4B4F25DA"/>
    <w:rsid w:val="4BE068DB"/>
    <w:rsid w:val="4D577224"/>
    <w:rsid w:val="4E0D1CAA"/>
    <w:rsid w:val="4EAB630A"/>
    <w:rsid w:val="4ECE2238"/>
    <w:rsid w:val="4FCD73A1"/>
    <w:rsid w:val="5AF92295"/>
    <w:rsid w:val="5CD71FC4"/>
    <w:rsid w:val="6C4A05C8"/>
    <w:rsid w:val="6E7E3605"/>
    <w:rsid w:val="6FED3111"/>
    <w:rsid w:val="6FF5CC65"/>
    <w:rsid w:val="715C0E4B"/>
    <w:rsid w:val="72734D90"/>
    <w:rsid w:val="73AD73D5"/>
    <w:rsid w:val="73B6EB34"/>
    <w:rsid w:val="75378846"/>
    <w:rsid w:val="79EE5BA4"/>
    <w:rsid w:val="7A894339"/>
    <w:rsid w:val="7BFF86C3"/>
    <w:rsid w:val="7D7FAA8C"/>
    <w:rsid w:val="7EEF11D3"/>
    <w:rsid w:val="7F49D010"/>
    <w:rsid w:val="7FA30C79"/>
    <w:rsid w:val="7FC96657"/>
    <w:rsid w:val="97CD838E"/>
    <w:rsid w:val="B7F19517"/>
    <w:rsid w:val="CF9D698D"/>
    <w:rsid w:val="D8D6DB89"/>
    <w:rsid w:val="DB6F4CAB"/>
    <w:rsid w:val="DF3BADAA"/>
    <w:rsid w:val="DF6F9789"/>
    <w:rsid w:val="DFD5888B"/>
    <w:rsid w:val="EEDF2C0D"/>
    <w:rsid w:val="F2F9C572"/>
    <w:rsid w:val="FBEAAC4C"/>
    <w:rsid w:val="FDF5F4AB"/>
    <w:rsid w:val="FF7F7B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 w:val="21"/>
    </w:rPr>
  </w:style>
  <w:style w:type="paragraph" w:styleId="3">
    <w:name w:val="Body Text Indent"/>
    <w:basedOn w:val="1"/>
    <w:qFormat/>
    <w:uiPriority w:val="0"/>
    <w:pPr>
      <w:spacing w:before="100" w:beforeAutospacing="1" w:line="180" w:lineRule="exact"/>
      <w:ind w:firstLine="629"/>
    </w:pPr>
    <w:rPr>
      <w:b/>
      <w:color w:val="FF0000"/>
      <w:sz w:val="32"/>
    </w:rPr>
  </w:style>
  <w:style w:type="paragraph" w:customStyle="1" w:styleId="4">
    <w:name w:val="样式1"/>
    <w:basedOn w:val="1"/>
    <w:qFormat/>
    <w:uiPriority w:val="0"/>
    <w:pPr>
      <w:jc w:val="center"/>
      <w:outlineLvl w:val="0"/>
    </w:pPr>
    <w:rPr>
      <w:rFonts w:eastAsia="黑体"/>
      <w:b/>
      <w:bCs/>
      <w:sz w:val="36"/>
      <w:szCs w:val="36"/>
    </w:rPr>
  </w:style>
  <w:style w:type="paragraph" w:styleId="8">
    <w:name w:val="index 8"/>
    <w:basedOn w:val="1"/>
    <w:next w:val="1"/>
    <w:qFormat/>
    <w:uiPriority w:val="0"/>
    <w:pPr>
      <w:spacing w:before="120" w:after="120" w:line="360" w:lineRule="auto"/>
      <w:ind w:left="3920" w:leftChars="1400"/>
      <w:jc w:val="left"/>
    </w:pPr>
    <w:rPr>
      <w:rFonts w:ascii="Times New Roman" w:hAnsi="Times New Roman" w:eastAsia="宋体" w:cs="Times New Roman"/>
      <w:b/>
      <w:szCs w:val="24"/>
    </w:rPr>
  </w:style>
  <w:style w:type="paragraph" w:styleId="9">
    <w:name w:val="Body Text"/>
    <w:basedOn w:val="1"/>
    <w:next w:val="1"/>
    <w:link w:val="26"/>
    <w:qFormat/>
    <w:uiPriority w:val="99"/>
    <w:pPr>
      <w:spacing w:beforeLines="30"/>
    </w:pPr>
    <w:rPr>
      <w:rFonts w:ascii="仿宋_GB2312" w:eastAsia="仿宋_GB2312"/>
      <w:kern w:val="0"/>
      <w:sz w:val="30"/>
    </w:r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2"/>
    <w:semiHidden/>
    <w:unhideWhenUsed/>
    <w:qFormat/>
    <w:uiPriority w:val="99"/>
    <w:rPr>
      <w:sz w:val="18"/>
      <w:szCs w:val="18"/>
    </w:rPr>
  </w:style>
  <w:style w:type="paragraph" w:styleId="12">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Body Text First Indent"/>
    <w:basedOn w:val="9"/>
    <w:qFormat/>
    <w:uiPriority w:val="0"/>
    <w:pPr>
      <w:ind w:firstLine="420" w:firstLineChars="100"/>
    </w:pPr>
    <w:rPr>
      <w:rFonts w:ascii="Calibri" w:hAnsi="Calibri" w:eastAsia="宋体" w:cs="Times New Roman"/>
      <w:szCs w:val="22"/>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3"/>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2"/>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9"/>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5"/>
    <w:qFormat/>
    <w:uiPriority w:val="9"/>
    <w:rPr>
      <w:rFonts w:ascii="Times New Roman" w:hAnsi="Times New Roman"/>
      <w:b/>
      <w:bCs/>
      <w:kern w:val="44"/>
      <w:sz w:val="44"/>
      <w:szCs w:val="44"/>
    </w:rPr>
  </w:style>
  <w:style w:type="character" w:customStyle="1" w:styleId="30">
    <w:name w:val="标题 2 Char"/>
    <w:basedOn w:val="18"/>
    <w:link w:val="6"/>
    <w:qFormat/>
    <w:uiPriority w:val="9"/>
    <w:rPr>
      <w:rFonts w:asciiTheme="majorHAnsi" w:hAnsiTheme="majorHAnsi" w:eastAsiaTheme="majorEastAsia" w:cstheme="majorBidi"/>
      <w:b/>
      <w:bCs/>
      <w:kern w:val="2"/>
      <w:sz w:val="32"/>
      <w:szCs w:val="32"/>
    </w:rPr>
  </w:style>
  <w:style w:type="paragraph" w:customStyle="1" w:styleId="31">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1"/>
    <w:semiHidden/>
    <w:qFormat/>
    <w:uiPriority w:val="99"/>
    <w:rPr>
      <w:rFonts w:ascii="Times New Roman" w:hAnsi="Times New Roman"/>
      <w:kern w:val="2"/>
      <w:sz w:val="18"/>
      <w:szCs w:val="18"/>
    </w:rPr>
  </w:style>
  <w:style w:type="character" w:customStyle="1" w:styleId="33">
    <w:name w:val="标题 3 Char"/>
    <w:basedOn w:val="18"/>
    <w:link w:val="7"/>
    <w:qFormat/>
    <w:uiPriority w:val="9"/>
    <w:rPr>
      <w:rFonts w:ascii="Times New Roman" w:hAnsi="Times New Roman"/>
      <w:b/>
      <w:bCs/>
      <w:kern w:val="2"/>
      <w:sz w:val="32"/>
      <w:szCs w:val="32"/>
    </w:rPr>
  </w:style>
  <w:style w:type="paragraph" w:customStyle="1" w:styleId="34">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font12"/>
    <w:basedOn w:val="18"/>
    <w:qFormat/>
    <w:uiPriority w:val="0"/>
    <w:rPr>
      <w:rFonts w:hint="eastAsia" w:ascii="宋体" w:hAnsi="宋体" w:eastAsia="宋体" w:cs="宋体"/>
      <w:color w:val="000000"/>
      <w:sz w:val="15"/>
      <w:szCs w:val="15"/>
      <w:u w:val="none"/>
    </w:rPr>
  </w:style>
  <w:style w:type="character" w:customStyle="1" w:styleId="36">
    <w:name w:val="font01"/>
    <w:basedOn w:val="18"/>
    <w:qFormat/>
    <w:uiPriority w:val="0"/>
    <w:rPr>
      <w:rFonts w:hint="eastAsia" w:ascii="宋体" w:hAnsi="宋体" w:eastAsia="宋体" w:cs="宋体"/>
      <w:b/>
      <w:color w:val="000000"/>
      <w:sz w:val="15"/>
      <w:szCs w:val="15"/>
      <w:u w:val="none"/>
    </w:rPr>
  </w:style>
  <w:style w:type="character" w:customStyle="1" w:styleId="37">
    <w:name w:val="font41"/>
    <w:basedOn w:val="18"/>
    <w:qFormat/>
    <w:uiPriority w:val="0"/>
    <w:rPr>
      <w:rFonts w:hint="eastAsia" w:ascii="宋体" w:hAnsi="宋体" w:eastAsia="宋体" w:cs="宋体"/>
      <w:b/>
      <w:color w:val="000000"/>
      <w:sz w:val="15"/>
      <w:szCs w:val="15"/>
      <w:u w:val="none"/>
    </w:rPr>
  </w:style>
  <w:style w:type="character" w:customStyle="1" w:styleId="38">
    <w:name w:val="font31"/>
    <w:basedOn w:val="18"/>
    <w:qFormat/>
    <w:uiPriority w:val="0"/>
    <w:rPr>
      <w:rFonts w:hint="eastAsia" w:ascii="宋体" w:hAnsi="宋体" w:eastAsia="宋体" w:cs="宋体"/>
      <w:b/>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2020</c:v>
                </c:pt>
              </c:strCache>
            </c:strRef>
          </c:tx>
          <c:spPr>
            <a:solidFill>
              <a:schemeClr val="accent6"/>
            </a:solidFill>
            <a:ln>
              <a:noFill/>
            </a:ln>
            <a:effectLst/>
          </c:spPr>
          <c:invertIfNegative val="0"/>
          <c:dLbls>
            <c:delete val="1"/>
          </c:dLbls>
          <c:cat>
            <c:strRef>
              <c:f>[工作簿1]Sheet1!$B$1:$C$1</c:f>
              <c:strCache>
                <c:ptCount val="2"/>
                <c:pt idx="0">
                  <c:v>财政拨款收入</c:v>
                </c:pt>
                <c:pt idx="1">
                  <c:v>财政拨款支出</c:v>
                </c:pt>
              </c:strCache>
            </c:strRef>
          </c:cat>
          <c:val>
            <c:numRef>
              <c:f>[工作簿1]Sheet1!$B$2:$C$2</c:f>
              <c:numCache>
                <c:formatCode>General</c:formatCode>
                <c:ptCount val="2"/>
                <c:pt idx="0">
                  <c:v>97367.76</c:v>
                </c:pt>
                <c:pt idx="1">
                  <c:v>28947.82</c:v>
                </c:pt>
              </c:numCache>
            </c:numRef>
          </c:val>
        </c:ser>
        <c:ser>
          <c:idx val="1"/>
          <c:order val="1"/>
          <c:tx>
            <c:strRef>
              <c:f>[工作簿1]Sheet1!$A$3</c:f>
              <c:strCache>
                <c:ptCount val="1"/>
                <c:pt idx="0">
                  <c:v>2021</c:v>
                </c:pt>
              </c:strCache>
            </c:strRef>
          </c:tx>
          <c:spPr>
            <a:solidFill>
              <a:schemeClr val="accent5"/>
            </a:solidFill>
            <a:ln>
              <a:noFill/>
            </a:ln>
            <a:effectLst/>
          </c:spPr>
          <c:invertIfNegative val="0"/>
          <c:dLbls>
            <c:delete val="1"/>
          </c:dLbls>
          <c:cat>
            <c:strRef>
              <c:f>[工作簿1]Sheet1!$B$1:$C$1</c:f>
              <c:strCache>
                <c:ptCount val="2"/>
                <c:pt idx="0">
                  <c:v>财政拨款收入</c:v>
                </c:pt>
                <c:pt idx="1">
                  <c:v>财政拨款支出</c:v>
                </c:pt>
              </c:strCache>
            </c:strRef>
          </c:cat>
          <c:val>
            <c:numRef>
              <c:f>[工作簿1]Sheet1!$B$3:$C$3</c:f>
              <c:numCache>
                <c:formatCode>General</c:formatCode>
                <c:ptCount val="2"/>
                <c:pt idx="0">
                  <c:v>122835.03</c:v>
                </c:pt>
                <c:pt idx="1">
                  <c:v>68020.36</c:v>
                </c:pt>
              </c:numCache>
            </c:numRef>
          </c:val>
        </c:ser>
        <c:dLbls>
          <c:showLegendKey val="0"/>
          <c:showVal val="0"/>
          <c:showCatName val="0"/>
          <c:showSerName val="0"/>
          <c:showPercent val="0"/>
          <c:showBubbleSize val="0"/>
        </c:dLbls>
        <c:gapWidth val="219"/>
        <c:overlap val="-27"/>
        <c:axId val="21276603"/>
        <c:axId val="679652074"/>
      </c:barChart>
      <c:catAx>
        <c:axId val="21276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9652074"/>
        <c:crosses val="autoZero"/>
        <c:auto val="1"/>
        <c:lblAlgn val="ctr"/>
        <c:lblOffset val="100"/>
        <c:noMultiLvlLbl val="0"/>
      </c:catAx>
      <c:valAx>
        <c:axId val="6796520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766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一般公共预算财政拨款支出</c:v>
                </c:pt>
              </c:strCache>
            </c:strRef>
          </c:tx>
          <c:spPr>
            <a:solidFill>
              <a:schemeClr val="accent6"/>
            </a:solidFill>
            <a:ln>
              <a:noFill/>
            </a:ln>
            <a:effectLst/>
          </c:spPr>
          <c:invertIfNegative val="0"/>
          <c:dLbls>
            <c:delete val="1"/>
          </c:dLbls>
          <c:cat>
            <c:numRef>
              <c:f>[工作簿1]Sheet1!$A$2:$A$3</c:f>
              <c:numCache>
                <c:formatCode>General</c:formatCode>
                <c:ptCount val="2"/>
                <c:pt idx="0">
                  <c:v>2020</c:v>
                </c:pt>
                <c:pt idx="1">
                  <c:v>2021</c:v>
                </c:pt>
              </c:numCache>
            </c:numRef>
          </c:cat>
          <c:val>
            <c:numRef>
              <c:f>[工作簿1]Sheet1!$B$2:$B$3</c:f>
              <c:numCache>
                <c:formatCode>General</c:formatCode>
                <c:ptCount val="2"/>
                <c:pt idx="0">
                  <c:v>8160.89</c:v>
                </c:pt>
                <c:pt idx="1">
                  <c:v>59123.08</c:v>
                </c:pt>
              </c:numCache>
            </c:numRef>
          </c:val>
        </c:ser>
        <c:dLbls>
          <c:showLegendKey val="0"/>
          <c:showVal val="0"/>
          <c:showCatName val="0"/>
          <c:showSerName val="0"/>
          <c:showPercent val="0"/>
          <c:showBubbleSize val="0"/>
        </c:dLbls>
        <c:gapWidth val="219"/>
        <c:overlap val="-27"/>
        <c:axId val="89105054"/>
        <c:axId val="817111520"/>
      </c:barChart>
      <c:catAx>
        <c:axId val="891050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111520"/>
        <c:crosses val="autoZero"/>
        <c:auto val="1"/>
        <c:lblAlgn val="ctr"/>
        <c:lblOffset val="100"/>
        <c:noMultiLvlLbl val="0"/>
      </c:catAx>
      <c:valAx>
        <c:axId val="81711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10505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[工作簿1]Sheet1!$B$1:$I$1</c:f>
              <c:strCache>
                <c:ptCount val="8"/>
                <c:pt idx="0">
                  <c:v>教育支出</c:v>
                </c:pt>
                <c:pt idx="1">
                  <c:v>社会保障和就业</c:v>
                </c:pt>
                <c:pt idx="2">
                  <c:v>卫生健康支出</c:v>
                </c:pt>
                <c:pt idx="3">
                  <c:v>节能环保支出</c:v>
                </c:pt>
                <c:pt idx="4">
                  <c:v>农林水支出</c:v>
                </c:pt>
                <c:pt idx="5">
                  <c:v>住房保障支出</c:v>
                </c:pt>
                <c:pt idx="6">
                  <c:v>灾害防治及应急管理支出</c:v>
                </c:pt>
                <c:pt idx="7">
                  <c:v>其他支出</c:v>
                </c:pt>
              </c:strCache>
            </c:strRef>
          </c:cat>
          <c:val>
            <c:numRef>
              <c:f>[工作簿1]Sheet1!$B$2:$I$2</c:f>
              <c:numCache>
                <c:formatCode>General</c:formatCode>
                <c:ptCount val="8"/>
                <c:pt idx="0">
                  <c:v>0</c:v>
                </c:pt>
                <c:pt idx="1" c:formatCode="0.00%">
                  <c:v>0.0025</c:v>
                </c:pt>
                <c:pt idx="2" c:formatCode="0.00%">
                  <c:v>0.0009</c:v>
                </c:pt>
                <c:pt idx="3" c:formatCode="0.00%">
                  <c:v>0.0006</c:v>
                </c:pt>
                <c:pt idx="4" c:formatCode="0.00%">
                  <c:v>0.9032</c:v>
                </c:pt>
                <c:pt idx="5" c:formatCode="0.00%">
                  <c:v>0.00112</c:v>
                </c:pt>
                <c:pt idx="6" c:formatCode="0.00%">
                  <c:v>0.005</c:v>
                </c:pt>
                <c:pt idx="7" c:formatCode="0.00%">
                  <c:v>0.0866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 “三公”经费支出</a:t>
            </a:r>
            <a:endParaRPr b="1"/>
          </a:p>
        </c:rich>
      </c:tx>
      <c:layout/>
      <c:overlay val="0"/>
      <c:spPr>
        <a:noFill/>
        <a:ln>
          <a:noFill/>
        </a:ln>
        <a:effectLst/>
      </c:spPr>
    </c:title>
    <c:autoTitleDeleted val="0"/>
    <c:plotArea>
      <c:layout/>
      <c:pieChart>
        <c:varyColors val="1"/>
        <c:ser>
          <c:idx val="0"/>
          <c:order val="0"/>
          <c:tx>
            <c:strRef>
              <c:f>[工作簿1]Sheet1!$A$2</c:f>
              <c:strCache>
                <c:ptCount val="1"/>
                <c:pt idx="0">
                  <c:v/>
                </c:pt>
              </c:strCache>
            </c:strRef>
          </c:tx>
          <c:spPr/>
          <c:explosion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Lbls>
            <c:delete val="1"/>
          </c:dLbls>
          <c:cat>
            <c:strRef>
              <c:f>[工作簿1]Sheet1!$B$1:$D$1</c:f>
              <c:strCache>
                <c:ptCount val="3"/>
                <c:pt idx="0">
                  <c:v>因公出国（境）费</c:v>
                </c:pt>
                <c:pt idx="1">
                  <c:v>公务接待费</c:v>
                </c:pt>
                <c:pt idx="2">
                  <c:v>公务用车
运行费</c:v>
                </c:pt>
              </c:strCache>
            </c:strRef>
          </c:cat>
          <c:val>
            <c:numRef>
              <c:f>[工作簿1]Sheet1!$B$2:$D$2</c:f>
              <c:numCache>
                <c:formatCode>General</c:formatCode>
                <c:ptCount val="3"/>
                <c:pt idx="0">
                  <c:v>0</c:v>
                </c:pt>
                <c:pt idx="1" c:formatCode="0.00%">
                  <c:v>0.2593</c:v>
                </c:pt>
                <c:pt idx="2" c:formatCode="0.00%">
                  <c:v>0.7407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0320450885668277"/>
          <c:y val="0.817204301075269"/>
          <c:w val="0.871175523349436"/>
          <c:h val="0.14758064516129"/>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49</Pages>
  <Words>31989</Words>
  <Characters>35507</Characters>
  <Lines>61</Lines>
  <Paragraphs>17</Paragraphs>
  <TotalTime>84</TotalTime>
  <ScaleCrop>false</ScaleCrop>
  <LinksUpToDate>false</LinksUpToDate>
  <CharactersWithSpaces>35626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木木</cp:lastModifiedBy>
  <cp:lastPrinted>2022-08-10T01:11:00Z</cp:lastPrinted>
  <dcterms:modified xsi:type="dcterms:W3CDTF">2023-09-21T00:57:18Z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9721FA42697E4FFC9032FA5922E20EC7</vt:lpwstr>
  </property>
</Properties>
</file>