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96475"/>
      <w:bookmarkStart w:id="3" w:name="_Toc2092556438"/>
      <w:bookmarkStart w:id="4" w:name="_Toc15377193"/>
      <w:bookmarkStart w:id="5" w:name="_Toc15378441"/>
      <w:bookmarkStart w:id="6"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7" w:name="_Toc15396476"/>
      <w:bookmarkStart w:id="8" w:name="_Toc15396598"/>
      <w:bookmarkStart w:id="9" w:name="_Toc2145596250"/>
      <w:bookmarkStart w:id="10" w:name="_Toc15377194"/>
      <w:bookmarkStart w:id="11" w:name="_Toc15378442"/>
      <w:bookmarkStart w:id="12"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巴中市化成水库运行保护中心</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outlineLvl w:val="9"/>
        <w:rPr>
          <w:rFonts w:hint="eastAsia"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2"/>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p>
      <w:pPr>
        <w:pStyle w:val="14"/>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rPr>
      </w:pPr>
      <w:bookmarkStart w:id="14" w:name="_Toc15377196"/>
      <w:bookmarkStart w:id="15" w:name="_Toc15396599"/>
    </w:p>
    <w:p>
      <w:pPr>
        <w:pStyle w:val="12"/>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color w:val="auto"/>
          <w:sz w:val="24"/>
          <w:szCs w:val="24"/>
          <w:highlight w:val="none"/>
        </w:rPr>
        <w:fldChar w:fldCharType="begin"/>
      </w:r>
      <w:r>
        <w:rPr>
          <w:rFonts w:hint="eastAsia" w:ascii="方正仿宋_GBK" w:hAnsi="方正仿宋_GBK" w:eastAsia="方正仿宋_GBK" w:cs="方正仿宋_GBK"/>
          <w:b w:val="0"/>
          <w:color w:val="auto"/>
          <w:sz w:val="24"/>
          <w:szCs w:val="24"/>
          <w:highlight w:val="none"/>
        </w:rPr>
        <w:instrText xml:space="preserve">TOC \o "1-3" \h \u </w:instrText>
      </w:r>
      <w:r>
        <w:rPr>
          <w:rFonts w:hint="eastAsia" w:ascii="方正仿宋_GBK" w:hAnsi="方正仿宋_GBK" w:eastAsia="方正仿宋_GBK" w:cs="方正仿宋_GBK"/>
          <w:b w:val="0"/>
          <w:color w:val="auto"/>
          <w:sz w:val="24"/>
          <w:szCs w:val="24"/>
          <w:highlight w:val="none"/>
        </w:rPr>
        <w:fldChar w:fldCharType="separate"/>
      </w: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_Toc1389448393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 xml:space="preserve">第一部分 </w:t>
      </w:r>
      <w:r>
        <w:rPr>
          <w:rFonts w:hint="eastAsia" w:ascii="方正仿宋_GBK" w:hAnsi="方正仿宋_GBK" w:eastAsia="方正仿宋_GBK" w:cs="方正仿宋_GBK"/>
          <w:sz w:val="24"/>
          <w:szCs w:val="24"/>
          <w:highlight w:val="none"/>
          <w:lang w:eastAsia="zh-CN"/>
        </w:rPr>
        <w:t>单位</w:t>
      </w:r>
      <w:r>
        <w:rPr>
          <w:rFonts w:hint="eastAsia" w:ascii="方正仿宋_GBK" w:hAnsi="方正仿宋_GBK" w:eastAsia="方正仿宋_GBK" w:cs="方正仿宋_GBK"/>
          <w:bCs w:val="0"/>
          <w:sz w:val="24"/>
          <w:szCs w:val="24"/>
          <w:highlight w:val="none"/>
        </w:rPr>
        <w:t>概况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_Toc1389448393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_Toc1669313892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lang w:val="en-US" w:eastAsia="zh-CN"/>
        </w:rPr>
        <w:t>一、</w:t>
      </w:r>
      <w:r>
        <w:rPr>
          <w:rFonts w:hint="eastAsia" w:ascii="方正仿宋_GBK" w:hAnsi="方正仿宋_GBK" w:eastAsia="方正仿宋_GBK" w:cs="方正仿宋_GBK"/>
          <w:bCs w:val="0"/>
          <w:sz w:val="24"/>
          <w:szCs w:val="24"/>
          <w:highlight w:val="none"/>
        </w:rPr>
        <w:t>职能</w:t>
      </w:r>
      <w:r>
        <w:rPr>
          <w:rFonts w:hint="eastAsia" w:ascii="方正仿宋_GBK" w:hAnsi="方正仿宋_GBK" w:eastAsia="方正仿宋_GBK" w:cs="方正仿宋_GBK"/>
          <w:bCs w:val="0"/>
          <w:sz w:val="24"/>
          <w:szCs w:val="24"/>
          <w:highlight w:val="none"/>
          <w:lang w:eastAsia="zh-CN"/>
        </w:rPr>
        <w:t>简介</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_Toc1669313892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_Toc2051061199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lang w:val="en-US" w:eastAsia="zh-CN"/>
        </w:rPr>
        <w:t>二、2021年重点</w:t>
      </w:r>
      <w:r>
        <w:rPr>
          <w:rFonts w:hint="eastAsia" w:ascii="方正仿宋_GBK" w:hAnsi="方正仿宋_GBK" w:eastAsia="方正仿宋_GBK" w:cs="方正仿宋_GBK"/>
          <w:sz w:val="24"/>
          <w:szCs w:val="24"/>
          <w:highlight w:val="none"/>
        </w:rPr>
        <w:t>工作</w:t>
      </w:r>
      <w:r>
        <w:rPr>
          <w:rFonts w:hint="eastAsia" w:ascii="方正仿宋_GBK" w:hAnsi="方正仿宋_GBK" w:eastAsia="方正仿宋_GBK" w:cs="方正仿宋_GBK"/>
          <w:sz w:val="24"/>
          <w:szCs w:val="24"/>
          <w:highlight w:val="none"/>
          <w:lang w:eastAsia="zh-CN"/>
        </w:rPr>
        <w:t>完成情况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_Toc2051061199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2"/>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_Toc1917017935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sz w:val="24"/>
          <w:szCs w:val="24"/>
          <w:highlight w:val="none"/>
        </w:rPr>
        <w:t xml:space="preserve">第二部分 </w:t>
      </w:r>
      <w:r>
        <w:rPr>
          <w:rFonts w:hint="eastAsia" w:ascii="方正仿宋_GBK" w:hAnsi="方正仿宋_GBK" w:eastAsia="方正仿宋_GBK" w:cs="方正仿宋_GBK"/>
          <w:bCs/>
          <w:sz w:val="24"/>
          <w:szCs w:val="24"/>
          <w:highlight w:val="none"/>
          <w:lang w:val="en-US" w:eastAsia="zh-CN"/>
        </w:rPr>
        <w:t>2021年度</w:t>
      </w:r>
      <w:r>
        <w:rPr>
          <w:rFonts w:hint="eastAsia" w:ascii="方正仿宋_GBK" w:hAnsi="方正仿宋_GBK" w:eastAsia="方正仿宋_GBK" w:cs="方正仿宋_GBK"/>
          <w:bCs/>
          <w:sz w:val="24"/>
          <w:szCs w:val="24"/>
          <w:highlight w:val="none"/>
          <w:lang w:eastAsia="zh-CN"/>
        </w:rPr>
        <w:t>单位</w:t>
      </w:r>
      <w:r>
        <w:rPr>
          <w:rFonts w:hint="eastAsia" w:ascii="方正仿宋_GBK" w:hAnsi="方正仿宋_GBK" w:eastAsia="方正仿宋_GBK" w:cs="方正仿宋_GBK"/>
          <w:bCs/>
          <w:sz w:val="24"/>
          <w:szCs w:val="24"/>
          <w:highlight w:val="none"/>
        </w:rPr>
        <w:t>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_Toc1917017935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_Toc2046459836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一、 </w:t>
      </w:r>
      <w:r>
        <w:rPr>
          <w:rFonts w:hint="eastAsia" w:ascii="方正仿宋_GBK" w:hAnsi="方正仿宋_GBK" w:eastAsia="方正仿宋_GBK" w:cs="方正仿宋_GBK"/>
          <w:sz w:val="24"/>
          <w:szCs w:val="24"/>
          <w:highlight w:val="none"/>
        </w:rPr>
        <w:t>收入支出决算总体情况说明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_Toc2046459836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_Toc509929951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二、 </w:t>
      </w:r>
      <w:r>
        <w:rPr>
          <w:rFonts w:hint="eastAsia" w:ascii="方正仿宋_GBK" w:hAnsi="方正仿宋_GBK" w:eastAsia="方正仿宋_GBK" w:cs="方正仿宋_GBK"/>
          <w:sz w:val="24"/>
          <w:szCs w:val="24"/>
          <w:highlight w:val="none"/>
        </w:rPr>
        <w:t>收入决算情况说明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_Toc509929951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_Toc279207572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三、 </w:t>
      </w:r>
      <w:r>
        <w:rPr>
          <w:rFonts w:hint="eastAsia" w:ascii="方正仿宋_GBK" w:hAnsi="方正仿宋_GBK" w:eastAsia="方正仿宋_GBK" w:cs="方正仿宋_GBK"/>
          <w:sz w:val="24"/>
          <w:szCs w:val="24"/>
          <w:highlight w:val="none"/>
        </w:rPr>
        <w:t>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_Toc279207572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_Toc2126603598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四、财政拨款收入支出决算总体情况说明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_Toc2126603598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_Toc273115450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五、一般公共预算财政拨款支出决算情况说明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_Toc273115450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_Toc871992270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（一）一般公共预算财政拨款支出决算总体情况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_Toc871992270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_Toc204365823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（二）一般公共预算财政拨款支出决算结构情况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_Toc204365823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7</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_Toc1661538842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（三）一般公共预算财政拨款支出决算具体情况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_Toc1661538842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8</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_Toc984644398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六、一般公共预算财政拨款基本支出决算情况说明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_Toc984644398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9</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_Toc634126700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七、“三公”经费财政拨款支出决算情况说明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_Toc634126700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9</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_Toc231562815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（一）“三公”经费财政拨款支出决算总体情况说明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_Toc231562815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9</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_Toc1254749228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（二）“三公”经费财政拨款支出决算具体情况说明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_Toc1254749228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10</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_Toc1566784118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八、政府性基金预算支出决算情况说明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_Toc1566784118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_Toc1502257401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九、 </w:t>
      </w:r>
      <w:r>
        <w:rPr>
          <w:rFonts w:hint="eastAsia" w:ascii="方正仿宋_GBK" w:hAnsi="方正仿宋_GBK" w:eastAsia="方正仿宋_GBK" w:cs="方正仿宋_GBK"/>
          <w:sz w:val="24"/>
          <w:szCs w:val="24"/>
          <w:highlight w:val="none"/>
        </w:rPr>
        <w:t>国有资本经营预算支出决算情况说明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_Toc1502257401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_Toc48007972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十、 </w:t>
      </w:r>
      <w:r>
        <w:rPr>
          <w:rFonts w:hint="eastAsia" w:ascii="方正仿宋_GBK" w:hAnsi="方正仿宋_GBK" w:eastAsia="方正仿宋_GBK" w:cs="方正仿宋_GBK"/>
          <w:sz w:val="24"/>
          <w:szCs w:val="24"/>
          <w:highlight w:val="none"/>
        </w:rPr>
        <w:t>其他重要事项的情况说明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_Toc48007972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_Toc210170134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（一）机关运行经费支出情况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_Toc210170134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_Toc1391659454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（二）政府采购支出情况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_Toc1391659454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_Toc470917682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（三）国有资产占有使用情况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_Toc470917682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_Toc1047873880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（四）预算绩效管理情况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_Toc1047873880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2"/>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_Toc787001250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第三部分 </w:t>
      </w:r>
      <w:r>
        <w:rPr>
          <w:rFonts w:hint="eastAsia" w:ascii="方正仿宋_GBK" w:hAnsi="方正仿宋_GBK" w:eastAsia="方正仿宋_GBK" w:cs="方正仿宋_GBK"/>
          <w:sz w:val="24"/>
          <w:szCs w:val="24"/>
          <w:highlight w:val="none"/>
        </w:rPr>
        <w:t>名词解释</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_Toc787001250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19</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2"/>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_Toc1232821082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第四部分 附件</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_Toc1232821082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2"/>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_Toc1748182996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第五部分 附表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_Toc1748182996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_Toc2020924656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一、收</w:t>
      </w:r>
      <w:r>
        <w:rPr>
          <w:rFonts w:hint="eastAsia" w:ascii="方正仿宋_GBK" w:hAnsi="方正仿宋_GBK" w:eastAsia="方正仿宋_GBK" w:cs="方正仿宋_GBK"/>
          <w:bCs w:val="0"/>
          <w:sz w:val="24"/>
          <w:szCs w:val="24"/>
          <w:highlight w:val="none"/>
        </w:rPr>
        <w:t>入支出决算总表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_Toc2020924656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_Toc1454906862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二、收</w:t>
      </w:r>
      <w:r>
        <w:rPr>
          <w:rFonts w:hint="eastAsia" w:ascii="方正仿宋_GBK" w:hAnsi="方正仿宋_GBK" w:eastAsia="方正仿宋_GBK" w:cs="方正仿宋_GBK"/>
          <w:bCs w:val="0"/>
          <w:sz w:val="24"/>
          <w:szCs w:val="24"/>
          <w:highlight w:val="none"/>
        </w:rPr>
        <w:t>入决算表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_Toc1454906862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_Toc1233681845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三、</w:t>
      </w:r>
      <w:r>
        <w:rPr>
          <w:rFonts w:hint="eastAsia" w:ascii="方正仿宋_GBK" w:hAnsi="方正仿宋_GBK" w:eastAsia="方正仿宋_GBK" w:cs="方正仿宋_GBK"/>
          <w:sz w:val="24"/>
          <w:szCs w:val="24"/>
          <w:highlight w:val="none"/>
        </w:rPr>
        <w:t>支</w:t>
      </w:r>
      <w:r>
        <w:rPr>
          <w:rFonts w:hint="eastAsia" w:ascii="方正仿宋_GBK" w:hAnsi="方正仿宋_GBK" w:eastAsia="方正仿宋_GBK" w:cs="方正仿宋_GBK"/>
          <w:bCs w:val="0"/>
          <w:sz w:val="24"/>
          <w:szCs w:val="24"/>
          <w:highlight w:val="none"/>
        </w:rPr>
        <w:t>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_Toc1233681845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_Toc385641708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四、</w:t>
      </w:r>
      <w:r>
        <w:rPr>
          <w:rFonts w:hint="eastAsia" w:ascii="方正仿宋_GBK" w:hAnsi="方正仿宋_GBK" w:eastAsia="方正仿宋_GBK" w:cs="方正仿宋_GBK"/>
          <w:sz w:val="24"/>
          <w:szCs w:val="24"/>
          <w:highlight w:val="none"/>
        </w:rPr>
        <w:t>财</w:t>
      </w:r>
      <w:r>
        <w:rPr>
          <w:rFonts w:hint="eastAsia" w:ascii="方正仿宋_GBK" w:hAnsi="方正仿宋_GBK" w:eastAsia="方正仿宋_GBK" w:cs="方正仿宋_GBK"/>
          <w:bCs w:val="0"/>
          <w:sz w:val="24"/>
          <w:szCs w:val="24"/>
          <w:highlight w:val="none"/>
        </w:rPr>
        <w:t>政拨款收入支出决算总表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_Toc385641708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_Toc231729925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五、</w:t>
      </w:r>
      <w:r>
        <w:rPr>
          <w:rFonts w:hint="eastAsia" w:ascii="方正仿宋_GBK" w:hAnsi="方正仿宋_GBK" w:eastAsia="方正仿宋_GBK" w:cs="方正仿宋_GBK"/>
          <w:sz w:val="24"/>
          <w:szCs w:val="24"/>
          <w:highlight w:val="none"/>
        </w:rPr>
        <w:t>财</w:t>
      </w:r>
      <w:r>
        <w:rPr>
          <w:rFonts w:hint="eastAsia" w:ascii="方正仿宋_GBK" w:hAnsi="方正仿宋_GBK" w:eastAsia="方正仿宋_GBK" w:cs="方正仿宋_GBK"/>
          <w:bCs w:val="0"/>
          <w:sz w:val="24"/>
          <w:szCs w:val="24"/>
          <w:highlight w:val="none"/>
        </w:rPr>
        <w:t>政拨款支出决算明细表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_Toc231729925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_Toc475646591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六、</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_Toc475646591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_Toc2054955600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七、</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般公共预算财政拨款支出决算明细表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_Toc2054955600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_Toc135307477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八、</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般公共预算财政拨款基本支出决算表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_Toc135307477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_Toc245180878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九、</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般公共预算财政拨款项目支出决算表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_Toc245180878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_Toc1953931788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般公共预算财政拨款“三公”经费支出决算表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_Toc1953931788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_Toc645237428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十一、</w:t>
      </w:r>
      <w:r>
        <w:rPr>
          <w:rFonts w:hint="eastAsia" w:ascii="方正仿宋_GBK" w:hAnsi="方正仿宋_GBK" w:eastAsia="方正仿宋_GBK" w:cs="方正仿宋_GBK"/>
          <w:sz w:val="24"/>
          <w:szCs w:val="24"/>
          <w:highlight w:val="none"/>
        </w:rPr>
        <w:t>政</w:t>
      </w:r>
      <w:r>
        <w:rPr>
          <w:rFonts w:hint="eastAsia" w:ascii="方正仿宋_GBK" w:hAnsi="方正仿宋_GBK" w:eastAsia="方正仿宋_GBK" w:cs="方正仿宋_GBK"/>
          <w:bCs w:val="0"/>
          <w:sz w:val="24"/>
          <w:szCs w:val="24"/>
          <w:highlight w:val="none"/>
        </w:rPr>
        <w:t>府性基金预算财政拨款收入支出决算表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_Toc645237428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_Toc524388450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十二、</w:t>
      </w:r>
      <w:r>
        <w:rPr>
          <w:rFonts w:hint="eastAsia" w:ascii="方正仿宋_GBK" w:hAnsi="方正仿宋_GBK" w:eastAsia="方正仿宋_GBK" w:cs="方正仿宋_GBK"/>
          <w:sz w:val="24"/>
          <w:szCs w:val="24"/>
          <w:highlight w:val="none"/>
        </w:rPr>
        <w:t>政</w:t>
      </w:r>
      <w:r>
        <w:rPr>
          <w:rFonts w:hint="eastAsia" w:ascii="方正仿宋_GBK" w:hAnsi="方正仿宋_GBK" w:eastAsia="方正仿宋_GBK" w:cs="方正仿宋_GBK"/>
          <w:bCs w:val="0"/>
          <w:sz w:val="24"/>
          <w:szCs w:val="24"/>
          <w:highlight w:val="none"/>
        </w:rPr>
        <w:t>府性基金预算财政拨款“三公”经费支出决算表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_Toc524388450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_Toc1933051739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十三、</w:t>
      </w:r>
      <w:r>
        <w:rPr>
          <w:rFonts w:hint="eastAsia" w:ascii="方正仿宋_GBK" w:hAnsi="方正仿宋_GBK" w:eastAsia="方正仿宋_GBK" w:cs="方正仿宋_GBK"/>
          <w:sz w:val="24"/>
          <w:szCs w:val="24"/>
          <w:highlight w:val="none"/>
        </w:rPr>
        <w:t>国</w:t>
      </w:r>
      <w:r>
        <w:rPr>
          <w:rFonts w:hint="eastAsia" w:ascii="方正仿宋_GBK" w:hAnsi="方正仿宋_GBK" w:eastAsia="方正仿宋_GBK" w:cs="方正仿宋_GBK"/>
          <w:bCs w:val="0"/>
          <w:sz w:val="24"/>
          <w:szCs w:val="24"/>
          <w:highlight w:val="none"/>
        </w:rPr>
        <w:t>有资本经营预算</w:t>
      </w:r>
      <w:r>
        <w:rPr>
          <w:rFonts w:hint="eastAsia" w:ascii="方正仿宋_GBK" w:hAnsi="方正仿宋_GBK" w:eastAsia="方正仿宋_GBK" w:cs="方正仿宋_GBK"/>
          <w:bCs w:val="0"/>
          <w:sz w:val="24"/>
          <w:szCs w:val="24"/>
          <w:highlight w:val="none"/>
          <w:lang w:eastAsia="zh-CN"/>
        </w:rPr>
        <w:t>财政拨款收入</w:t>
      </w:r>
      <w:r>
        <w:rPr>
          <w:rFonts w:hint="eastAsia" w:ascii="方正仿宋_GBK" w:hAnsi="方正仿宋_GBK" w:eastAsia="方正仿宋_GBK" w:cs="方正仿宋_GBK"/>
          <w:bCs w:val="0"/>
          <w:sz w:val="24"/>
          <w:szCs w:val="24"/>
          <w:highlight w:val="none"/>
        </w:rPr>
        <w:t>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_Toc1933051739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3"/>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_Toc918352879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lang w:eastAsia="zh-CN"/>
        </w:rPr>
        <w:t>十四、国有资本经营预算财政拨款支出决算表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_Toc918352879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23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3"/>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val="0"/>
          <w:color w:val="auto"/>
          <w:sz w:val="24"/>
          <w:szCs w:val="24"/>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方正仿宋_GBK" w:hAnsi="方正仿宋_GBK" w:eastAsia="方正仿宋_GBK" w:cs="方正仿宋_GBK"/>
          <w:color w:val="auto"/>
          <w:sz w:val="24"/>
          <w:szCs w:val="24"/>
          <w:highlight w:val="none"/>
        </w:rPr>
        <w:fldChar w:fldCharType="end"/>
      </w:r>
    </w:p>
    <w:p>
      <w:pPr>
        <w:pStyle w:val="3"/>
        <w:jc w:val="center"/>
        <w:rPr>
          <w:rStyle w:val="27"/>
          <w:rFonts w:ascii="黑体" w:hAnsi="黑体" w:eastAsia="黑体"/>
          <w:b/>
          <w:bCs w:val="0"/>
          <w:color w:val="auto"/>
          <w:highlight w:val="none"/>
        </w:rPr>
      </w:pPr>
      <w:bookmarkStart w:id="16" w:name="_Toc1615789975"/>
      <w:bookmarkStart w:id="17" w:name="_Toc1389448393"/>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4"/>
      <w:bookmarkEnd w:id="15"/>
      <w:bookmarkEnd w:id="16"/>
      <w:bookmarkEnd w:id="17"/>
    </w:p>
    <w:p>
      <w:pPr>
        <w:widowControl/>
        <w:jc w:val="left"/>
        <w:rPr>
          <w:rFonts w:ascii="黑体" w:eastAsia="黑体"/>
          <w:color w:val="auto"/>
          <w:sz w:val="32"/>
          <w:szCs w:val="32"/>
          <w:highlight w:val="none"/>
        </w:rPr>
      </w:pPr>
    </w:p>
    <w:p>
      <w:pPr>
        <w:pStyle w:val="4"/>
        <w:numPr>
          <w:ilvl w:val="0"/>
          <w:numId w:val="0"/>
        </w:numPr>
        <w:spacing w:before="0" w:after="0" w:line="240" w:lineRule="auto"/>
        <w:rPr>
          <w:rStyle w:val="28"/>
          <w:rFonts w:hint="eastAsia" w:ascii="黑体" w:hAnsi="黑体" w:eastAsia="黑体"/>
          <w:b w:val="0"/>
          <w:bCs w:val="0"/>
          <w:color w:val="auto"/>
          <w:highlight w:val="none"/>
          <w:lang w:eastAsia="zh-CN"/>
        </w:rPr>
      </w:pPr>
      <w:bookmarkStart w:id="18" w:name="_Toc15396600"/>
      <w:bookmarkStart w:id="19" w:name="_Toc15377197"/>
      <w:r>
        <w:rPr>
          <w:rStyle w:val="28"/>
          <w:rFonts w:hint="eastAsia" w:ascii="黑体" w:hAnsi="黑体" w:eastAsia="黑体"/>
          <w:b w:val="0"/>
          <w:bCs w:val="0"/>
          <w:color w:val="auto"/>
          <w:highlight w:val="none"/>
          <w:lang w:val="en-US" w:eastAsia="zh-CN"/>
        </w:rPr>
        <w:t xml:space="preserve">    </w:t>
      </w:r>
      <w:bookmarkStart w:id="20" w:name="_Toc2026759664"/>
      <w:bookmarkStart w:id="21" w:name="_Toc1669313892"/>
      <w:r>
        <w:rPr>
          <w:rStyle w:val="28"/>
          <w:rFonts w:hint="eastAsia" w:ascii="黑体" w:hAnsi="黑体" w:eastAsia="黑体"/>
          <w:b w:val="0"/>
          <w:bCs w:val="0"/>
          <w:color w:val="auto"/>
          <w:highlight w:val="none"/>
          <w:lang w:val="en-US" w:eastAsia="zh-CN"/>
        </w:rPr>
        <w:t>一、</w:t>
      </w:r>
      <w:r>
        <w:rPr>
          <w:rStyle w:val="28"/>
          <w:rFonts w:hint="eastAsia" w:ascii="黑体" w:hAnsi="黑体" w:eastAsia="黑体"/>
          <w:b w:val="0"/>
          <w:bCs w:val="0"/>
          <w:color w:val="auto"/>
          <w:highlight w:val="none"/>
        </w:rPr>
        <w:t>职能</w:t>
      </w:r>
      <w:r>
        <w:rPr>
          <w:rStyle w:val="28"/>
          <w:rFonts w:hint="eastAsia" w:ascii="黑体" w:hAnsi="黑体" w:eastAsia="黑体"/>
          <w:b w:val="0"/>
          <w:bCs w:val="0"/>
          <w:color w:val="auto"/>
          <w:highlight w:val="none"/>
          <w:lang w:eastAsia="zh-CN"/>
        </w:rPr>
        <w:t>简介</w:t>
      </w:r>
      <w:bookmarkEnd w:id="20"/>
      <w:bookmarkEnd w:id="21"/>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我单位主要职能职责，贯彻执行有关的法律、法规和方针政策，依法管理、保护、维修、养护水利工程，确保工程安全和正常运行；按照水利工程管理要求，制定工程的日常管理制度，做好工程的检查、观测，建立健全工程技术档案，加强标准化管理；维修养护水利工程以及设施设备，保持工程设备完好，确保工程设施安全运行；做好水资源保护和水生态建设工作，编制水利工程的调度运用计划和防汛抗旱预案，做好工程的蓄水保水、调度运用、防汛抗旱等工作。</w:t>
      </w:r>
    </w:p>
    <w:p>
      <w:pPr>
        <w:pStyle w:val="4"/>
        <w:numPr>
          <w:ilvl w:val="0"/>
          <w:numId w:val="0"/>
        </w:numPr>
        <w:ind w:firstLine="640" w:firstLineChars="200"/>
        <w:rPr>
          <w:rFonts w:hint="eastAsia" w:ascii="黑体" w:hAnsi="黑体" w:eastAsia="黑体"/>
          <w:b w:val="0"/>
          <w:color w:val="auto"/>
          <w:highlight w:val="none"/>
          <w:lang w:eastAsia="zh-CN"/>
        </w:rPr>
      </w:pPr>
      <w:bookmarkStart w:id="22" w:name="_Toc1906012715"/>
      <w:bookmarkStart w:id="23" w:name="_Toc2051061199"/>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8"/>
      <w:bookmarkEnd w:id="19"/>
      <w:r>
        <w:rPr>
          <w:rFonts w:hint="eastAsia" w:ascii="黑体" w:hAnsi="黑体" w:eastAsia="黑体"/>
          <w:b w:val="0"/>
          <w:color w:val="auto"/>
          <w:highlight w:val="none"/>
          <w:lang w:eastAsia="zh-CN"/>
        </w:rPr>
        <w:t>完成情况</w:t>
      </w:r>
      <w:bookmarkEnd w:id="22"/>
      <w:bookmarkEnd w:id="23"/>
    </w:p>
    <w:p>
      <w:pPr>
        <w:spacing w:line="600" w:lineRule="exact"/>
        <w:ind w:firstLine="640" w:firstLineChars="200"/>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1.抓</w:t>
      </w:r>
      <w:r>
        <w:rPr>
          <w:rFonts w:hint="eastAsia" w:ascii="仿宋" w:hAnsi="仿宋" w:eastAsia="仿宋"/>
          <w:color w:val="auto"/>
          <w:sz w:val="32"/>
          <w:szCs w:val="32"/>
          <w:highlight w:val="none"/>
          <w:lang w:val="en-US" w:eastAsia="zh-CN"/>
        </w:rPr>
        <w:t>作风建设</w:t>
      </w:r>
      <w:r>
        <w:rPr>
          <w:rFonts w:hint="default"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en-US" w:eastAsia="zh-CN"/>
        </w:rPr>
        <w:t>全年多次组织干部职工</w:t>
      </w:r>
      <w:r>
        <w:rPr>
          <w:rFonts w:hint="default" w:ascii="仿宋" w:hAnsi="仿宋" w:eastAsia="仿宋"/>
          <w:color w:val="auto"/>
          <w:sz w:val="32"/>
          <w:szCs w:val="32"/>
          <w:highlight w:val="none"/>
          <w:lang w:val="en-US" w:eastAsia="zh-CN"/>
        </w:rPr>
        <w:t>思想</w:t>
      </w:r>
      <w:r>
        <w:rPr>
          <w:rFonts w:hint="eastAsia" w:ascii="仿宋" w:hAnsi="仿宋" w:eastAsia="仿宋"/>
          <w:color w:val="auto"/>
          <w:sz w:val="32"/>
          <w:szCs w:val="32"/>
          <w:highlight w:val="none"/>
          <w:lang w:val="en-US" w:eastAsia="zh-CN"/>
        </w:rPr>
        <w:t>政治</w:t>
      </w:r>
      <w:r>
        <w:rPr>
          <w:rFonts w:hint="default" w:ascii="仿宋" w:hAnsi="仿宋" w:eastAsia="仿宋"/>
          <w:color w:val="auto"/>
          <w:sz w:val="32"/>
          <w:szCs w:val="32"/>
          <w:highlight w:val="none"/>
          <w:lang w:val="en-US" w:eastAsia="zh-CN"/>
        </w:rPr>
        <w:t>教育及业务知识的</w:t>
      </w:r>
      <w:r>
        <w:rPr>
          <w:rFonts w:hint="eastAsia" w:ascii="仿宋" w:hAnsi="仿宋" w:eastAsia="仿宋"/>
          <w:color w:val="auto"/>
          <w:sz w:val="32"/>
          <w:szCs w:val="32"/>
          <w:highlight w:val="none"/>
          <w:lang w:val="en-US" w:eastAsia="zh-CN"/>
        </w:rPr>
        <w:t>培训</w:t>
      </w:r>
      <w:r>
        <w:rPr>
          <w:rFonts w:hint="default" w:ascii="仿宋" w:hAnsi="仿宋" w:eastAsia="仿宋"/>
          <w:color w:val="auto"/>
          <w:sz w:val="32"/>
          <w:szCs w:val="32"/>
          <w:highlight w:val="none"/>
          <w:lang w:val="en-US" w:eastAsia="zh-CN"/>
        </w:rPr>
        <w:t>学习</w:t>
      </w:r>
      <w:r>
        <w:rPr>
          <w:rFonts w:hint="eastAsia" w:ascii="仿宋" w:hAnsi="仿宋" w:eastAsia="仿宋"/>
          <w:color w:val="auto"/>
          <w:sz w:val="32"/>
          <w:szCs w:val="32"/>
          <w:highlight w:val="none"/>
          <w:lang w:val="en-US" w:eastAsia="zh-CN"/>
        </w:rPr>
        <w:t>，严格规章制度纪律的执行，</w:t>
      </w:r>
      <w:r>
        <w:rPr>
          <w:rFonts w:hint="default" w:ascii="仿宋" w:hAnsi="仿宋" w:eastAsia="仿宋"/>
          <w:color w:val="auto"/>
          <w:sz w:val="32"/>
          <w:szCs w:val="32"/>
          <w:highlight w:val="none"/>
          <w:lang w:val="en-US" w:eastAsia="zh-CN"/>
        </w:rPr>
        <w:t>充分发挥</w:t>
      </w:r>
      <w:r>
        <w:rPr>
          <w:rFonts w:hint="eastAsia" w:ascii="仿宋" w:hAnsi="仿宋" w:eastAsia="仿宋"/>
          <w:color w:val="auto"/>
          <w:sz w:val="32"/>
          <w:szCs w:val="32"/>
          <w:highlight w:val="none"/>
          <w:lang w:val="en-US" w:eastAsia="zh-CN"/>
        </w:rPr>
        <w:t>支部的堡垒作用和</w:t>
      </w:r>
      <w:r>
        <w:rPr>
          <w:rFonts w:hint="default" w:ascii="仿宋" w:hAnsi="仿宋" w:eastAsia="仿宋"/>
          <w:color w:val="auto"/>
          <w:sz w:val="32"/>
          <w:szCs w:val="32"/>
          <w:highlight w:val="none"/>
          <w:lang w:val="en-US" w:eastAsia="zh-CN"/>
        </w:rPr>
        <w:t>党员的先锋模范带头作用，</w:t>
      </w:r>
      <w:r>
        <w:rPr>
          <w:rFonts w:hint="eastAsia" w:ascii="仿宋" w:hAnsi="仿宋" w:eastAsia="仿宋"/>
          <w:color w:val="auto"/>
          <w:sz w:val="32"/>
          <w:szCs w:val="32"/>
          <w:highlight w:val="none"/>
          <w:lang w:val="en-US" w:eastAsia="zh-CN"/>
        </w:rPr>
        <w:t>塑</w:t>
      </w:r>
      <w:r>
        <w:rPr>
          <w:rFonts w:hint="default" w:ascii="仿宋" w:hAnsi="仿宋" w:eastAsia="仿宋"/>
          <w:color w:val="auto"/>
          <w:sz w:val="32"/>
          <w:szCs w:val="32"/>
          <w:highlight w:val="none"/>
          <w:lang w:val="en-US" w:eastAsia="zh-CN"/>
        </w:rPr>
        <w:t>造</w:t>
      </w:r>
      <w:r>
        <w:rPr>
          <w:rFonts w:hint="eastAsia" w:ascii="仿宋" w:hAnsi="仿宋" w:eastAsia="仿宋"/>
          <w:color w:val="auto"/>
          <w:sz w:val="32"/>
          <w:szCs w:val="32"/>
          <w:highlight w:val="none"/>
          <w:lang w:val="en-US" w:eastAsia="zh-CN"/>
        </w:rPr>
        <w:t>了</w:t>
      </w:r>
      <w:r>
        <w:rPr>
          <w:rFonts w:hint="default" w:ascii="仿宋" w:hAnsi="仿宋" w:eastAsia="仿宋"/>
          <w:color w:val="auto"/>
          <w:sz w:val="32"/>
          <w:szCs w:val="32"/>
          <w:highlight w:val="none"/>
          <w:lang w:val="en-US" w:eastAsia="zh-CN"/>
        </w:rPr>
        <w:t>清正、廉洁、高效的单位形象。</w:t>
      </w:r>
    </w:p>
    <w:p>
      <w:pPr>
        <w:spacing w:line="600" w:lineRule="exact"/>
        <w:ind w:firstLine="640" w:firstLineChars="200"/>
        <w:rPr>
          <w:rFonts w:hint="eastAsia"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2.抓项目强基础。把项目建设作为水库补短板的契机，</w:t>
      </w:r>
      <w:r>
        <w:rPr>
          <w:rFonts w:hint="eastAsia" w:ascii="仿宋" w:hAnsi="仿宋" w:eastAsia="仿宋"/>
          <w:color w:val="auto"/>
          <w:sz w:val="32"/>
          <w:szCs w:val="32"/>
          <w:highlight w:val="none"/>
          <w:lang w:val="en-US" w:eastAsia="zh-CN"/>
        </w:rPr>
        <w:t>年底</w:t>
      </w:r>
      <w:r>
        <w:rPr>
          <w:rFonts w:hint="default" w:ascii="仿宋" w:hAnsi="仿宋" w:eastAsia="仿宋"/>
          <w:color w:val="auto"/>
          <w:sz w:val="32"/>
          <w:szCs w:val="32"/>
          <w:highlight w:val="none"/>
          <w:lang w:val="en-US" w:eastAsia="zh-CN"/>
        </w:rPr>
        <w:t>化成水库除险加固</w:t>
      </w:r>
      <w:r>
        <w:rPr>
          <w:rFonts w:hint="eastAsia" w:ascii="仿宋" w:hAnsi="仿宋" w:eastAsia="仿宋"/>
          <w:color w:val="auto"/>
          <w:sz w:val="32"/>
          <w:szCs w:val="32"/>
          <w:highlight w:val="none"/>
          <w:lang w:val="en-US" w:eastAsia="zh-CN"/>
        </w:rPr>
        <w:t>工程已开工建设，</w:t>
      </w:r>
      <w:r>
        <w:rPr>
          <w:rFonts w:hint="default" w:ascii="仿宋" w:hAnsi="仿宋" w:eastAsia="仿宋"/>
          <w:color w:val="auto"/>
          <w:sz w:val="32"/>
          <w:szCs w:val="32"/>
          <w:highlight w:val="none"/>
          <w:lang w:val="en-US" w:eastAsia="zh-CN"/>
        </w:rPr>
        <w:t>水库水毁修复项目</w:t>
      </w:r>
      <w:r>
        <w:rPr>
          <w:rFonts w:hint="eastAsia" w:ascii="仿宋" w:hAnsi="仿宋" w:eastAsia="仿宋"/>
          <w:color w:val="auto"/>
          <w:sz w:val="32"/>
          <w:szCs w:val="32"/>
          <w:highlight w:val="none"/>
          <w:lang w:val="en-US" w:eastAsia="zh-CN"/>
        </w:rPr>
        <w:t>已完工验收。</w:t>
      </w:r>
    </w:p>
    <w:p>
      <w:pPr>
        <w:spacing w:line="600" w:lineRule="exact"/>
        <w:ind w:firstLine="640" w:firstLineChars="200"/>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3.抓生态保水质。</w:t>
      </w:r>
      <w:r>
        <w:rPr>
          <w:rFonts w:hint="eastAsia" w:ascii="仿宋" w:hAnsi="仿宋" w:eastAsia="仿宋"/>
          <w:color w:val="auto"/>
          <w:sz w:val="32"/>
          <w:szCs w:val="32"/>
          <w:highlight w:val="none"/>
          <w:lang w:val="en-US" w:eastAsia="zh-CN"/>
        </w:rPr>
        <w:t>一是</w:t>
      </w:r>
      <w:r>
        <w:rPr>
          <w:rFonts w:hint="default" w:ascii="仿宋" w:hAnsi="仿宋" w:eastAsia="仿宋"/>
          <w:color w:val="auto"/>
          <w:sz w:val="32"/>
          <w:szCs w:val="32"/>
          <w:highlight w:val="none"/>
          <w:lang w:val="en-US" w:eastAsia="zh-CN"/>
        </w:rPr>
        <w:t>切实做好</w:t>
      </w:r>
      <w:r>
        <w:rPr>
          <w:rFonts w:hint="eastAsia" w:ascii="仿宋" w:hAnsi="仿宋" w:eastAsia="仿宋"/>
          <w:color w:val="auto"/>
          <w:sz w:val="32"/>
          <w:szCs w:val="32"/>
          <w:highlight w:val="none"/>
          <w:lang w:val="en-US" w:eastAsia="zh-CN"/>
        </w:rPr>
        <w:t>了</w:t>
      </w:r>
      <w:r>
        <w:rPr>
          <w:rFonts w:hint="default" w:ascii="仿宋" w:hAnsi="仿宋" w:eastAsia="仿宋"/>
          <w:color w:val="auto"/>
          <w:sz w:val="32"/>
          <w:szCs w:val="32"/>
          <w:highlight w:val="none"/>
          <w:lang w:val="en-US" w:eastAsia="zh-CN"/>
        </w:rPr>
        <w:t>水库水质保护工作，</w:t>
      </w:r>
      <w:r>
        <w:rPr>
          <w:rFonts w:hint="eastAsia" w:ascii="仿宋" w:hAnsi="仿宋" w:eastAsia="仿宋"/>
          <w:color w:val="auto"/>
          <w:sz w:val="32"/>
          <w:szCs w:val="32"/>
          <w:highlight w:val="none"/>
          <w:lang w:val="en-US" w:eastAsia="zh-CN"/>
        </w:rPr>
        <w:t>全年保证三类饮用水质，</w:t>
      </w:r>
      <w:r>
        <w:rPr>
          <w:rFonts w:hint="default" w:ascii="仿宋" w:hAnsi="仿宋" w:eastAsia="仿宋"/>
          <w:color w:val="auto"/>
          <w:sz w:val="32"/>
          <w:szCs w:val="32"/>
          <w:highlight w:val="none"/>
          <w:lang w:val="en-US" w:eastAsia="zh-CN"/>
        </w:rPr>
        <w:t>保持水库巡查和水面垃圾清理工作常态化，</w:t>
      </w:r>
      <w:r>
        <w:rPr>
          <w:rFonts w:hint="eastAsia" w:ascii="仿宋" w:hAnsi="仿宋" w:eastAsia="仿宋"/>
          <w:color w:val="auto"/>
          <w:sz w:val="32"/>
          <w:szCs w:val="32"/>
          <w:highlight w:val="none"/>
          <w:lang w:val="en-US" w:eastAsia="zh-CN"/>
        </w:rPr>
        <w:t>多次</w:t>
      </w:r>
      <w:r>
        <w:rPr>
          <w:rFonts w:hint="default" w:ascii="仿宋" w:hAnsi="仿宋" w:eastAsia="仿宋"/>
          <w:color w:val="auto"/>
          <w:sz w:val="32"/>
          <w:szCs w:val="32"/>
          <w:highlight w:val="none"/>
          <w:lang w:val="en-US" w:eastAsia="zh-CN"/>
        </w:rPr>
        <w:t>与海事、水政、渔政、环保、城管执法、公安等部门联系加</w:t>
      </w:r>
      <w:r>
        <w:rPr>
          <w:rFonts w:hint="eastAsia" w:ascii="仿宋" w:hAnsi="仿宋" w:eastAsia="仿宋"/>
          <w:color w:val="auto"/>
          <w:sz w:val="32"/>
          <w:szCs w:val="32"/>
          <w:highlight w:val="none"/>
          <w:lang w:val="en-US" w:eastAsia="zh-CN"/>
        </w:rPr>
        <w:t>大</w:t>
      </w:r>
      <w:r>
        <w:rPr>
          <w:rFonts w:hint="default" w:ascii="仿宋" w:hAnsi="仿宋" w:eastAsia="仿宋"/>
          <w:color w:val="auto"/>
          <w:sz w:val="32"/>
          <w:szCs w:val="32"/>
          <w:highlight w:val="none"/>
          <w:lang w:val="en-US" w:eastAsia="zh-CN"/>
        </w:rPr>
        <w:t>对危害水利工程和库区水污染事件的执法力度。二是</w:t>
      </w:r>
      <w:r>
        <w:rPr>
          <w:rFonts w:hint="eastAsia" w:ascii="仿宋" w:hAnsi="仿宋" w:eastAsia="仿宋"/>
          <w:color w:val="auto"/>
          <w:sz w:val="32"/>
          <w:szCs w:val="32"/>
          <w:highlight w:val="none"/>
          <w:lang w:val="en-US" w:eastAsia="zh-CN"/>
        </w:rPr>
        <w:t>举办3.22世界水日、水周</w:t>
      </w:r>
      <w:r>
        <w:rPr>
          <w:rFonts w:hint="default" w:ascii="仿宋" w:hAnsi="仿宋" w:eastAsia="仿宋"/>
          <w:color w:val="auto"/>
          <w:sz w:val="32"/>
          <w:szCs w:val="32"/>
          <w:highlight w:val="none"/>
          <w:lang w:val="en-US" w:eastAsia="zh-CN"/>
        </w:rPr>
        <w:t>水</w:t>
      </w:r>
      <w:r>
        <w:rPr>
          <w:rFonts w:hint="eastAsia" w:ascii="仿宋" w:hAnsi="仿宋" w:eastAsia="仿宋"/>
          <w:color w:val="auto"/>
          <w:sz w:val="32"/>
          <w:szCs w:val="32"/>
          <w:highlight w:val="none"/>
          <w:lang w:val="en-US" w:eastAsia="zh-CN"/>
        </w:rPr>
        <w:t>资</w:t>
      </w:r>
      <w:r>
        <w:rPr>
          <w:rFonts w:hint="default" w:ascii="仿宋" w:hAnsi="仿宋" w:eastAsia="仿宋"/>
          <w:color w:val="auto"/>
          <w:sz w:val="32"/>
          <w:szCs w:val="32"/>
          <w:highlight w:val="none"/>
          <w:lang w:val="en-US" w:eastAsia="zh-CN"/>
        </w:rPr>
        <w:t>源保护宣传活动增强全民水源保护意识。三是加强水库水面水污染安全防护和应急管理，组建水源地保护应急抢险队伍，配备水源保护应急抢险物资。四是主动配合地方政府和相关职能部门，抓好重点污染源的治理工作，实时开展水质检测，保证水库水质长期优于国家标准。</w:t>
      </w:r>
    </w:p>
    <w:p>
      <w:pPr>
        <w:spacing w:line="600" w:lineRule="exact"/>
        <w:ind w:firstLine="640" w:firstLineChars="200"/>
        <w:rPr>
          <w:rFonts w:hint="eastAsia"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4.抓防汛保安全。一是抓组织保障，进一步调整充实防汛抗旱队伍，明确责任措施，强化组织保障。二是抓隐患整改，及时对水库及灌区重点区域，进行拉网式检查，对发现的问题及时整改，</w:t>
      </w:r>
      <w:r>
        <w:rPr>
          <w:rFonts w:hint="eastAsia" w:ascii="仿宋" w:hAnsi="仿宋" w:eastAsia="仿宋"/>
          <w:color w:val="auto"/>
          <w:sz w:val="32"/>
          <w:szCs w:val="32"/>
          <w:highlight w:val="none"/>
          <w:lang w:val="en-US" w:eastAsia="zh-CN"/>
        </w:rPr>
        <w:t>防患未然</w:t>
      </w:r>
      <w:bookmarkStart w:id="149" w:name="_GoBack"/>
      <w:bookmarkEnd w:id="149"/>
      <w:r>
        <w:rPr>
          <w:rFonts w:hint="default" w:ascii="仿宋" w:hAnsi="仿宋" w:eastAsia="仿宋"/>
          <w:color w:val="auto"/>
          <w:sz w:val="32"/>
          <w:szCs w:val="32"/>
          <w:highlight w:val="none"/>
          <w:lang w:val="en-US" w:eastAsia="zh-CN"/>
        </w:rPr>
        <w:t>。三是抓</w:t>
      </w:r>
      <w:r>
        <w:rPr>
          <w:rFonts w:hint="eastAsia" w:ascii="仿宋" w:hAnsi="仿宋" w:eastAsia="仿宋"/>
          <w:color w:val="auto"/>
          <w:sz w:val="32"/>
          <w:szCs w:val="32"/>
          <w:highlight w:val="none"/>
          <w:lang w:val="en-US" w:eastAsia="zh-CN"/>
        </w:rPr>
        <w:t>预案制定，结合在建的除险加固项目防汛预案</w:t>
      </w:r>
      <w:r>
        <w:rPr>
          <w:rFonts w:hint="default" w:ascii="仿宋" w:hAnsi="仿宋" w:eastAsia="仿宋"/>
          <w:color w:val="auto"/>
          <w:sz w:val="32"/>
          <w:szCs w:val="32"/>
          <w:highlight w:val="none"/>
          <w:lang w:val="en-US" w:eastAsia="zh-CN"/>
        </w:rPr>
        <w:t>，修订完善</w:t>
      </w:r>
      <w:r>
        <w:rPr>
          <w:rFonts w:hint="eastAsia" w:ascii="仿宋" w:hAnsi="仿宋" w:eastAsia="仿宋"/>
          <w:color w:val="auto"/>
          <w:sz w:val="32"/>
          <w:szCs w:val="32"/>
          <w:highlight w:val="none"/>
          <w:lang w:val="en-US" w:eastAsia="zh-CN"/>
        </w:rPr>
        <w:t>水库</w:t>
      </w:r>
      <w:r>
        <w:rPr>
          <w:rFonts w:hint="default" w:ascii="仿宋" w:hAnsi="仿宋" w:eastAsia="仿宋"/>
          <w:color w:val="auto"/>
          <w:sz w:val="32"/>
          <w:szCs w:val="32"/>
          <w:highlight w:val="none"/>
          <w:lang w:val="en-US" w:eastAsia="zh-CN"/>
        </w:rPr>
        <w:t>防汛抢险应急预案</w:t>
      </w:r>
      <w:r>
        <w:rPr>
          <w:rFonts w:hint="eastAsia" w:ascii="仿宋" w:hAnsi="仿宋" w:eastAsia="仿宋"/>
          <w:color w:val="auto"/>
          <w:sz w:val="32"/>
          <w:szCs w:val="32"/>
          <w:highlight w:val="none"/>
          <w:lang w:val="en-US" w:eastAsia="zh-CN"/>
        </w:rPr>
        <w:t>，确保项目实施期间防汛安全</w:t>
      </w:r>
      <w:r>
        <w:rPr>
          <w:rFonts w:hint="default" w:ascii="仿宋" w:hAnsi="仿宋" w:eastAsia="仿宋"/>
          <w:color w:val="auto"/>
          <w:sz w:val="32"/>
          <w:szCs w:val="32"/>
          <w:highlight w:val="none"/>
          <w:lang w:val="en-US" w:eastAsia="zh-CN"/>
        </w:rPr>
        <w:t>。</w:t>
      </w: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24" w:name="_Toc1917017935"/>
      <w:bookmarkStart w:id="25" w:name="_Toc15377204"/>
      <w:bookmarkStart w:id="26" w:name="_Toc15396602"/>
      <w:bookmarkStart w:id="27" w:name="_Toc171687847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24"/>
      <w:bookmarkEnd w:id="25"/>
      <w:bookmarkEnd w:id="26"/>
      <w:bookmarkEnd w:id="27"/>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8" w:name="_Toc544759658"/>
      <w:bookmarkStart w:id="29" w:name="_Toc15377205"/>
      <w:bookmarkStart w:id="30" w:name="_Toc15396603"/>
      <w:bookmarkStart w:id="31" w:name="_Toc2046459836"/>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8"/>
      <w:bookmarkEnd w:id="29"/>
      <w:bookmarkEnd w:id="30"/>
      <w:bookmarkEnd w:id="31"/>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591.34万元，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724.73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137万元，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30.15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总计减少</w:t>
      </w:r>
      <w:r>
        <w:rPr>
          <w:rFonts w:hint="eastAsia" w:ascii="仿宋" w:hAnsi="仿宋" w:eastAsia="仿宋"/>
          <w:color w:val="auto"/>
          <w:sz w:val="32"/>
          <w:szCs w:val="32"/>
          <w:highlight w:val="none"/>
          <w:lang w:val="en-US" w:eastAsia="zh-CN"/>
        </w:rPr>
        <w:t>186.9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收入总计</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2021年项目资金增多，中灌项目下达省级资金219万，支出总计</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2021年项目支出费用减少，2020使用结转资金支付青龙嘴水库前期工作费用103万和中灌项目费用492万。</w:t>
      </w:r>
    </w:p>
    <w:p>
      <w:pPr>
        <w:pStyle w:val="14"/>
      </w:pPr>
      <w:r>
        <w:rPr>
          <w:rFonts w:hint="eastAsia"/>
          <w:lang w:val="en-US" w:eastAsia="zh-CN"/>
        </w:rPr>
        <w:t xml:space="preserve">  </w:t>
      </w:r>
      <w:r>
        <w:drawing>
          <wp:inline distT="0" distB="0" distL="114300" distR="114300">
            <wp:extent cx="4119880" cy="2758440"/>
            <wp:effectExtent l="4445" t="5080" r="9525" b="17780"/>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6"/>
        <w:numPr>
          <w:ilvl w:val="0"/>
          <w:numId w:val="0"/>
        </w:numPr>
        <w:spacing w:line="600" w:lineRule="exact"/>
        <w:ind w:left="640" w:leftChars="0"/>
        <w:jc w:val="center"/>
        <w:outlineLvl w:val="9"/>
        <w:rPr>
          <w:rStyle w:val="28"/>
          <w:rFonts w:ascii="黑体" w:hAnsi="黑体" w:eastAsia="黑体"/>
          <w:b w:val="0"/>
          <w:color w:val="auto"/>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bookmarkStart w:id="32" w:name="_Toc15377206"/>
      <w:bookmarkStart w:id="33" w:name="_Toc15396604"/>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34" w:name="_Toc509929951"/>
      <w:bookmarkStart w:id="35" w:name="_Toc1265801747"/>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32"/>
      <w:bookmarkEnd w:id="33"/>
      <w:bookmarkEnd w:id="34"/>
      <w:bookmarkEnd w:id="35"/>
    </w:p>
    <w:p>
      <w:pPr>
        <w:spacing w:line="600" w:lineRule="exact"/>
        <w:ind w:firstLine="640" w:firstLineChars="200"/>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591.34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591.34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pPr>
    </w:p>
    <w:p>
      <w:pPr>
        <w:spacing w:line="600" w:lineRule="exact"/>
        <w:ind w:firstLine="420" w:firstLineChars="200"/>
      </w:pPr>
    </w:p>
    <w:p>
      <w:pPr>
        <w:spacing w:line="240" w:lineRule="auto"/>
        <w:ind w:firstLine="0" w:firstLineChars="0"/>
      </w:pPr>
      <w:r>
        <w:rPr>
          <w:rFonts w:hint="eastAsia"/>
          <w:lang w:val="en-US" w:eastAsia="zh-CN"/>
        </w:rPr>
        <w:t xml:space="preserve">       </w:t>
      </w:r>
      <w:r>
        <w:drawing>
          <wp:inline distT="0" distB="0" distL="114300" distR="114300">
            <wp:extent cx="4182745" cy="2522220"/>
            <wp:effectExtent l="0" t="0" r="8255"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4182745" cy="2522220"/>
                    </a:xfrm>
                    <a:prstGeom prst="rect">
                      <a:avLst/>
                    </a:prstGeom>
                    <a:noFill/>
                    <a:ln>
                      <a:noFill/>
                    </a:ln>
                  </pic:spPr>
                </pic:pic>
              </a:graphicData>
            </a:graphic>
          </wp:inline>
        </w:drawing>
      </w:r>
    </w:p>
    <w:p>
      <w:pPr>
        <w:spacing w:line="600" w:lineRule="exact"/>
        <w:ind w:firstLine="640" w:firstLineChars="200"/>
        <w:jc w:val="center"/>
        <w:outlineLvl w:val="9"/>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36" w:name="_Toc279207572"/>
      <w:bookmarkStart w:id="37" w:name="_Toc15396605"/>
      <w:bookmarkStart w:id="38" w:name="_Toc15377207"/>
      <w:bookmarkStart w:id="39" w:name="_Toc32886968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6"/>
      <w:bookmarkEnd w:id="37"/>
      <w:bookmarkEnd w:id="38"/>
      <w:bookmarkEnd w:id="39"/>
    </w:p>
    <w:p>
      <w:pPr>
        <w:spacing w:line="600" w:lineRule="exact"/>
        <w:ind w:firstLine="640" w:firstLineChars="200"/>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724.73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225.22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499.51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0" w:firstLineChars="0"/>
        <w:rPr>
          <w:rFonts w:hint="eastAsia" w:ascii="仿宋" w:hAnsi="仿宋" w:eastAsia="仿宋"/>
          <w:color w:val="auto"/>
          <w:sz w:val="32"/>
          <w:szCs w:val="32"/>
          <w:highlight w:val="none"/>
        </w:rPr>
      </w:pPr>
      <w:r>
        <w:rPr>
          <w:rFonts w:hint="eastAsia"/>
          <w:lang w:val="en-US" w:eastAsia="zh-CN"/>
        </w:rPr>
        <w:t xml:space="preserve">       </w:t>
      </w:r>
      <w:r>
        <w:drawing>
          <wp:inline distT="0" distB="0" distL="114300" distR="114300">
            <wp:extent cx="4246880" cy="2672080"/>
            <wp:effectExtent l="4445" t="4445" r="15875" b="9525"/>
            <wp:docPr id="13" name="图表 12" descr="7b0a202020202263686172745265734964223a202234353236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bookmarkStart w:id="40" w:name="_Toc15396606"/>
      <w:bookmarkStart w:id="41" w:name="_Toc15377208"/>
    </w:p>
    <w:p>
      <w:pPr>
        <w:spacing w:line="600" w:lineRule="exact"/>
        <w:ind w:firstLine="640" w:firstLineChars="200"/>
        <w:outlineLvl w:val="1"/>
        <w:rPr>
          <w:rStyle w:val="28"/>
          <w:rFonts w:ascii="黑体" w:hAnsi="黑体" w:eastAsia="黑体"/>
          <w:b w:val="0"/>
          <w:color w:val="auto"/>
          <w:highlight w:val="none"/>
        </w:rPr>
      </w:pPr>
      <w:bookmarkStart w:id="42" w:name="_Toc2126603598"/>
      <w:bookmarkStart w:id="43" w:name="_Toc876105921"/>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40"/>
      <w:bookmarkEnd w:id="41"/>
      <w:bookmarkEnd w:id="42"/>
      <w:bookmarkEnd w:id="43"/>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w:t>
      </w:r>
      <w:r>
        <w:rPr>
          <w:rFonts w:hint="eastAsia" w:ascii="仿宋" w:hAnsi="仿宋" w:eastAsia="仿宋"/>
          <w:color w:val="auto"/>
          <w:sz w:val="32"/>
          <w:szCs w:val="32"/>
          <w:highlight w:val="none"/>
          <w:lang w:eastAsia="zh-CN"/>
        </w:rPr>
        <w:t>收入总计</w:t>
      </w:r>
      <w:r>
        <w:rPr>
          <w:rFonts w:hint="eastAsia" w:ascii="仿宋" w:hAnsi="仿宋" w:eastAsia="仿宋"/>
          <w:color w:val="auto"/>
          <w:sz w:val="32"/>
          <w:szCs w:val="32"/>
          <w:highlight w:val="none"/>
          <w:lang w:val="en-US" w:eastAsia="zh-CN"/>
        </w:rPr>
        <w:t>591.34万元，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724.73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137万元，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30.15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总计减少</w:t>
      </w:r>
      <w:r>
        <w:rPr>
          <w:rFonts w:hint="eastAsia" w:ascii="仿宋" w:hAnsi="仿宋" w:eastAsia="仿宋"/>
          <w:color w:val="auto"/>
          <w:sz w:val="32"/>
          <w:szCs w:val="32"/>
          <w:highlight w:val="none"/>
          <w:lang w:val="en-US" w:eastAsia="zh-CN"/>
        </w:rPr>
        <w:t>186.9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收入总计</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2021年项目资金增多，中灌项目下达省级资金219万，支出总计</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2021年项目支出费用减少，2020使用结转资金支付青龙嘴水库前期工作费用103万和中灌项目费用492万。</w:t>
      </w:r>
    </w:p>
    <w:p>
      <w:pPr>
        <w:spacing w:line="600" w:lineRule="exact"/>
        <w:ind w:firstLine="640" w:firstLineChars="200"/>
        <w:rPr>
          <w:rFonts w:hint="default" w:ascii="仿宋" w:hAnsi="仿宋" w:eastAsia="仿宋"/>
          <w:color w:val="auto"/>
          <w:sz w:val="32"/>
          <w:szCs w:val="32"/>
          <w:highlight w:val="none"/>
          <w:lang w:val="en-US" w:eastAsia="zh-CN"/>
        </w:rPr>
      </w:pPr>
    </w:p>
    <w:p>
      <w:pPr>
        <w:spacing w:line="240" w:lineRule="auto"/>
        <w:ind w:firstLine="0" w:firstLineChars="0"/>
        <w:rPr>
          <w:rFonts w:hint="eastAsia" w:ascii="仿宋" w:hAnsi="仿宋" w:eastAsia="仿宋"/>
          <w:color w:val="auto"/>
          <w:sz w:val="32"/>
          <w:szCs w:val="32"/>
          <w:highlight w:val="none"/>
        </w:rPr>
      </w:pPr>
      <w:r>
        <w:rPr>
          <w:rFonts w:hint="eastAsia"/>
          <w:lang w:val="en-US" w:eastAsia="zh-CN"/>
        </w:rPr>
        <w:t xml:space="preserve">       </w:t>
      </w:r>
      <w:r>
        <w:drawing>
          <wp:inline distT="0" distB="0" distL="114300" distR="114300">
            <wp:extent cx="4111625" cy="2695575"/>
            <wp:effectExtent l="4445" t="4445" r="17780" b="5080"/>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8"/>
          <w:rFonts w:ascii="黑体" w:hAnsi="黑体" w:eastAsia="黑体"/>
          <w:b w:val="0"/>
          <w:color w:val="auto"/>
          <w:highlight w:val="none"/>
        </w:rPr>
      </w:pPr>
      <w:bookmarkStart w:id="44" w:name="_Toc2037420038"/>
      <w:bookmarkStart w:id="45" w:name="_Toc15377209"/>
      <w:bookmarkStart w:id="46" w:name="_Toc15396607"/>
      <w:bookmarkStart w:id="47" w:name="_Toc27311545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44"/>
      <w:bookmarkEnd w:id="45"/>
      <w:bookmarkEnd w:id="46"/>
      <w:bookmarkEnd w:id="47"/>
    </w:p>
    <w:p>
      <w:pPr>
        <w:spacing w:line="600" w:lineRule="exact"/>
        <w:ind w:firstLine="643" w:firstLineChars="200"/>
        <w:outlineLvl w:val="2"/>
        <w:rPr>
          <w:rFonts w:ascii="仿宋" w:hAnsi="仿宋" w:eastAsia="仿宋"/>
          <w:b/>
          <w:color w:val="auto"/>
          <w:sz w:val="32"/>
          <w:szCs w:val="32"/>
          <w:highlight w:val="none"/>
        </w:rPr>
      </w:pPr>
      <w:bookmarkStart w:id="48" w:name="_Toc20624574"/>
      <w:bookmarkStart w:id="49" w:name="_Toc871992270"/>
      <w:bookmarkStart w:id="50" w:name="_Toc15377210"/>
      <w:r>
        <w:rPr>
          <w:rFonts w:hint="eastAsia" w:ascii="仿宋" w:hAnsi="仿宋" w:eastAsia="仿宋"/>
          <w:b/>
          <w:color w:val="auto"/>
          <w:sz w:val="32"/>
          <w:szCs w:val="32"/>
          <w:highlight w:val="none"/>
        </w:rPr>
        <w:t>（一）一般公共预算财政拨款支出决算总体情况</w:t>
      </w:r>
      <w:bookmarkEnd w:id="48"/>
      <w:bookmarkEnd w:id="49"/>
      <w:bookmarkEnd w:id="50"/>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724.73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186.9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20.5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2021年项目支出费用减少，2020使用结转资金支付青龙嘴水库前期工作费用103万和中灌项目费用492万。</w:t>
      </w:r>
    </w:p>
    <w:p>
      <w:pPr>
        <w:spacing w:line="600" w:lineRule="exact"/>
        <w:ind w:firstLine="640" w:firstLineChars="200"/>
        <w:rPr>
          <w:rFonts w:hint="default" w:ascii="仿宋" w:hAnsi="仿宋" w:eastAsia="仿宋"/>
          <w:color w:val="auto"/>
          <w:sz w:val="32"/>
          <w:szCs w:val="32"/>
          <w:highlight w:val="none"/>
          <w:lang w:val="en-US" w:eastAsia="zh-CN"/>
        </w:rPr>
      </w:pPr>
    </w:p>
    <w:p>
      <w:pPr>
        <w:spacing w:line="240" w:lineRule="auto"/>
        <w:ind w:firstLine="0" w:firstLineChars="0"/>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144010" cy="2711450"/>
            <wp:effectExtent l="4445" t="4445" r="23495" b="825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51" w:name="_Toc940001018"/>
      <w:bookmarkStart w:id="52" w:name="_Toc15377211"/>
      <w:bookmarkStart w:id="53" w:name="_Toc204365823"/>
      <w:r>
        <w:rPr>
          <w:rFonts w:hint="eastAsia" w:ascii="仿宋" w:hAnsi="仿宋" w:eastAsia="仿宋"/>
          <w:b/>
          <w:color w:val="auto"/>
          <w:sz w:val="32"/>
          <w:szCs w:val="32"/>
          <w:highlight w:val="none"/>
        </w:rPr>
        <w:t>（二）一般公共预算财政拨款支出决算结构情况</w:t>
      </w:r>
      <w:bookmarkEnd w:id="51"/>
      <w:bookmarkEnd w:id="52"/>
      <w:bookmarkEnd w:id="53"/>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724.73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39.21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6.95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rPr>
        <w:t>住房保障</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s="Times New Roman"/>
          <w:b/>
          <w:color w:val="auto"/>
          <w:sz w:val="32"/>
          <w:szCs w:val="32"/>
          <w:highlight w:val="none"/>
          <w:lang w:eastAsia="zh-CN"/>
        </w:rPr>
        <w:t>农林水</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519.84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lang w:eastAsia="zh-CN"/>
        </w:rPr>
        <w:t>灾害防治及应急管理</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149.99万元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21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0"/>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104005" cy="2647950"/>
            <wp:effectExtent l="4445" t="4445" r="6350" b="14605"/>
            <wp:docPr id="16" name="图表 15" descr="7b0a202020202263686172745265734964223a202234353236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54" w:name="_Toc15377212"/>
      <w:bookmarkStart w:id="55" w:name="_Toc1398696649"/>
      <w:bookmarkStart w:id="56" w:name="_Toc1661538842"/>
      <w:r>
        <w:rPr>
          <w:rFonts w:hint="eastAsia" w:ascii="仿宋" w:hAnsi="仿宋" w:eastAsia="仿宋"/>
          <w:b/>
          <w:color w:val="auto"/>
          <w:sz w:val="32"/>
          <w:szCs w:val="32"/>
          <w:highlight w:val="none"/>
        </w:rPr>
        <w:t>（三）一般公共预算财政拨款支出决算具体情况</w:t>
      </w:r>
      <w:bookmarkEnd w:id="54"/>
      <w:bookmarkEnd w:id="55"/>
      <w:bookmarkEnd w:id="56"/>
    </w:p>
    <w:p>
      <w:pPr>
        <w:spacing w:line="600" w:lineRule="exact"/>
        <w:ind w:firstLine="643" w:firstLineChars="200"/>
        <w:outlineLvl w:val="9"/>
        <w:rPr>
          <w:rFonts w:ascii="仿宋" w:hAnsi="仿宋" w:eastAsia="仿宋"/>
          <w:color w:val="auto"/>
          <w:sz w:val="32"/>
          <w:szCs w:val="32"/>
          <w:highlight w:val="none"/>
        </w:rPr>
      </w:pPr>
      <w:bookmarkStart w:id="57" w:name="_Toc15377213"/>
      <w:bookmarkStart w:id="58" w:name="_Toc15377444"/>
      <w:bookmarkStart w:id="59"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724.73</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79.9</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57"/>
      <w:bookmarkEnd w:id="58"/>
      <w:bookmarkEnd w:id="59"/>
    </w:p>
    <w:p>
      <w:pPr>
        <w:spacing w:line="600"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1.</w:t>
      </w:r>
      <w:r>
        <w:rPr>
          <w:rStyle w:val="17"/>
          <w:rFonts w:hint="eastAsia" w:ascii="仿宋" w:hAnsi="仿宋" w:eastAsia="仿宋"/>
          <w:bCs/>
          <w:color w:val="auto"/>
          <w:sz w:val="32"/>
          <w:szCs w:val="32"/>
          <w:highlight w:val="none"/>
        </w:rPr>
        <w:t>社会保障和就业</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39.21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2</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6.95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spacing w:line="600" w:lineRule="exact"/>
        <w:ind w:firstLine="643" w:firstLineChars="200"/>
        <w:rPr>
          <w:rFonts w:hint="eastAsia" w:ascii="仿宋" w:hAnsi="仿宋" w:eastAsia="仿宋"/>
          <w:color w:val="auto"/>
          <w:sz w:val="32"/>
          <w:szCs w:val="32"/>
          <w:highlight w:val="none"/>
          <w:lang w:eastAsia="zh-CN"/>
        </w:rPr>
      </w:pPr>
      <w:r>
        <w:rPr>
          <w:rStyle w:val="17"/>
          <w:rFonts w:hint="eastAsia" w:ascii="仿宋" w:hAnsi="仿宋" w:eastAsia="仿宋" w:cstheme="minorBidi"/>
          <w:bCs/>
          <w:color w:val="auto"/>
          <w:sz w:val="32"/>
          <w:szCs w:val="32"/>
          <w:highlight w:val="none"/>
          <w:lang w:val="en-US" w:eastAsia="zh-CN"/>
        </w:rPr>
        <w:t>3.住房保障：</w:t>
      </w:r>
      <w:r>
        <w:rPr>
          <w:rFonts w:hint="eastAsia" w:ascii="仿宋" w:hAnsi="仿宋" w:eastAsia="仿宋"/>
          <w:color w:val="auto"/>
          <w:sz w:val="32"/>
          <w:szCs w:val="32"/>
          <w:highlight w:val="none"/>
        </w:rPr>
        <w:t>支出</w:t>
      </w:r>
      <w:r>
        <w:rPr>
          <w:rStyle w:val="17"/>
          <w:rFonts w:hint="eastAsia" w:ascii="仿宋" w:hAnsi="仿宋" w:eastAsia="仿宋"/>
          <w:b w:val="0"/>
          <w:bCs/>
          <w:color w:val="auto"/>
          <w:sz w:val="32"/>
          <w:szCs w:val="32"/>
          <w:highlight w:val="none"/>
        </w:rPr>
        <w:t>决算为</w:t>
      </w:r>
      <w:r>
        <w:rPr>
          <w:rFonts w:hint="eastAsia" w:ascii="仿宋" w:hAnsi="仿宋" w:eastAsia="仿宋"/>
          <w:color w:val="auto"/>
          <w:sz w:val="32"/>
          <w:szCs w:val="32"/>
          <w:highlight w:val="none"/>
          <w:lang w:val="en-US" w:eastAsia="zh-CN"/>
        </w:rPr>
        <w:t>8.75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cstheme="minorBidi"/>
          <w:bCs/>
          <w:color w:val="auto"/>
          <w:sz w:val="32"/>
          <w:szCs w:val="32"/>
          <w:highlight w:val="none"/>
          <w:lang w:val="en-US" w:eastAsia="zh-CN"/>
        </w:rPr>
        <w:t>4.农林水：</w:t>
      </w:r>
      <w:r>
        <w:rPr>
          <w:rFonts w:hint="eastAsia" w:ascii="仿宋" w:hAnsi="仿宋" w:eastAsia="仿宋"/>
          <w:color w:val="auto"/>
          <w:sz w:val="32"/>
          <w:szCs w:val="32"/>
          <w:highlight w:val="none"/>
        </w:rPr>
        <w:t>支出</w:t>
      </w:r>
      <w:r>
        <w:rPr>
          <w:rStyle w:val="17"/>
          <w:rFonts w:hint="eastAsia" w:ascii="仿宋" w:hAnsi="仿宋" w:eastAsia="仿宋"/>
          <w:b w:val="0"/>
          <w:bCs/>
          <w:color w:val="auto"/>
          <w:sz w:val="32"/>
          <w:szCs w:val="32"/>
          <w:highlight w:val="none"/>
        </w:rPr>
        <w:t>决算为</w:t>
      </w:r>
      <w:r>
        <w:rPr>
          <w:rFonts w:hint="eastAsia" w:ascii="仿宋" w:hAnsi="仿宋" w:eastAsia="仿宋"/>
          <w:color w:val="auto"/>
          <w:sz w:val="32"/>
          <w:szCs w:val="32"/>
          <w:highlight w:val="none"/>
          <w:lang w:val="en-US" w:eastAsia="zh-CN"/>
        </w:rPr>
        <w:t>519.84</w:t>
      </w:r>
      <w:r>
        <w:rPr>
          <w:rFonts w:hint="eastAsia" w:ascii="仿宋" w:hAnsi="仿宋" w:eastAsia="仿宋"/>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96.9</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eastAsia="zh-CN"/>
        </w:rPr>
        <w:t>小于</w:t>
      </w:r>
      <w:r>
        <w:rPr>
          <w:rStyle w:val="17"/>
          <w:rFonts w:hint="eastAsia" w:ascii="仿宋" w:hAnsi="仿宋" w:eastAsia="仿宋"/>
          <w:b w:val="0"/>
          <w:bCs/>
          <w:color w:val="auto"/>
          <w:sz w:val="32"/>
          <w:szCs w:val="32"/>
          <w:highlight w:val="none"/>
        </w:rPr>
        <w:t>预算数</w:t>
      </w:r>
      <w:r>
        <w:rPr>
          <w:rStyle w:val="17"/>
          <w:rFonts w:hint="eastAsia" w:ascii="仿宋" w:hAnsi="仿宋" w:eastAsia="仿宋"/>
          <w:b w:val="0"/>
          <w:bCs/>
          <w:color w:val="auto"/>
          <w:sz w:val="32"/>
          <w:szCs w:val="32"/>
          <w:highlight w:val="none"/>
          <w:lang w:eastAsia="zh-CN"/>
        </w:rPr>
        <w:t>，其主要原因是农林水支出年底中灌项目和水利灾害恢复项目等资金结转合计</w:t>
      </w:r>
      <w:r>
        <w:rPr>
          <w:rStyle w:val="17"/>
          <w:rFonts w:hint="eastAsia" w:ascii="仿宋" w:hAnsi="仿宋" w:eastAsia="仿宋"/>
          <w:b w:val="0"/>
          <w:bCs/>
          <w:color w:val="auto"/>
          <w:sz w:val="32"/>
          <w:szCs w:val="32"/>
          <w:highlight w:val="none"/>
          <w:lang w:val="en-US" w:eastAsia="zh-CN"/>
        </w:rPr>
        <w:t>182.31万元</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color w:val="auto"/>
          <w:sz w:val="32"/>
          <w:szCs w:val="32"/>
          <w:highlight w:val="none"/>
        </w:rPr>
      </w:pPr>
      <w:r>
        <w:rPr>
          <w:rStyle w:val="17"/>
          <w:rFonts w:hint="eastAsia" w:ascii="仿宋" w:hAnsi="仿宋" w:eastAsia="仿宋" w:cstheme="minorBidi"/>
          <w:bCs/>
          <w:color w:val="auto"/>
          <w:sz w:val="32"/>
          <w:szCs w:val="32"/>
          <w:highlight w:val="none"/>
          <w:lang w:val="en-US" w:eastAsia="zh-CN"/>
        </w:rPr>
        <w:t>5.灾害防治及应急管理：</w:t>
      </w:r>
      <w:r>
        <w:rPr>
          <w:rFonts w:hint="eastAsia" w:ascii="仿宋" w:hAnsi="仿宋" w:eastAsia="仿宋"/>
          <w:color w:val="auto"/>
          <w:sz w:val="32"/>
          <w:szCs w:val="32"/>
          <w:highlight w:val="none"/>
          <w:lang w:eastAsia="zh-CN"/>
        </w:rPr>
        <w:t>支出</w:t>
      </w:r>
      <w:r>
        <w:rPr>
          <w:rStyle w:val="17"/>
          <w:rFonts w:hint="eastAsia" w:ascii="仿宋" w:hAnsi="仿宋" w:eastAsia="仿宋"/>
          <w:b w:val="0"/>
          <w:bCs/>
          <w:color w:val="auto"/>
          <w:sz w:val="32"/>
          <w:szCs w:val="32"/>
          <w:highlight w:val="none"/>
        </w:rPr>
        <w:t>决算为</w:t>
      </w:r>
      <w:r>
        <w:rPr>
          <w:rFonts w:hint="eastAsia" w:ascii="仿宋" w:hAnsi="仿宋" w:eastAsia="仿宋"/>
          <w:color w:val="auto"/>
          <w:sz w:val="32"/>
          <w:szCs w:val="32"/>
          <w:highlight w:val="none"/>
          <w:lang w:val="en-US" w:eastAsia="zh-CN"/>
        </w:rPr>
        <w:t>149.99万元</w:t>
      </w:r>
      <w:r>
        <w:rPr>
          <w:rFonts w:hint="eastAsia" w:ascii="仿宋" w:hAnsi="仿宋" w:eastAsia="仿宋"/>
          <w:color w:val="auto"/>
          <w:sz w:val="32"/>
          <w:szCs w:val="32"/>
          <w:highlight w:val="none"/>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99.99</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eastAsia="zh-CN"/>
        </w:rPr>
        <w:t>小</w:t>
      </w:r>
      <w:r>
        <w:rPr>
          <w:rStyle w:val="17"/>
          <w:rFonts w:hint="eastAsia" w:ascii="仿宋" w:hAnsi="仿宋" w:eastAsia="仿宋"/>
          <w:b w:val="0"/>
          <w:bCs/>
          <w:color w:val="auto"/>
          <w:sz w:val="32"/>
          <w:szCs w:val="32"/>
          <w:highlight w:val="none"/>
        </w:rPr>
        <w:t>于预算数</w:t>
      </w:r>
      <w:r>
        <w:rPr>
          <w:rStyle w:val="17"/>
          <w:rFonts w:hint="eastAsia" w:ascii="仿宋" w:hAnsi="仿宋" w:eastAsia="仿宋"/>
          <w:b w:val="0"/>
          <w:bCs/>
          <w:color w:val="auto"/>
          <w:sz w:val="32"/>
          <w:szCs w:val="32"/>
          <w:highlight w:val="none"/>
          <w:lang w:eastAsia="zh-CN"/>
        </w:rPr>
        <w:t>，其主要原因是水毁修复项目资金结余</w:t>
      </w:r>
      <w:r>
        <w:rPr>
          <w:rStyle w:val="17"/>
          <w:rFonts w:hint="eastAsia" w:ascii="仿宋" w:hAnsi="仿宋" w:eastAsia="仿宋"/>
          <w:b w:val="0"/>
          <w:bCs/>
          <w:color w:val="auto"/>
          <w:sz w:val="32"/>
          <w:szCs w:val="32"/>
          <w:highlight w:val="none"/>
          <w:lang w:val="en-US" w:eastAsia="zh-CN"/>
        </w:rPr>
        <w:t>134.69元</w:t>
      </w:r>
      <w:r>
        <w:rPr>
          <w:rStyle w:val="17"/>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8"/>
          <w:color w:val="auto"/>
          <w:highlight w:val="none"/>
        </w:rPr>
      </w:pPr>
      <w:bookmarkStart w:id="60" w:name="_Toc15377214"/>
      <w:bookmarkStart w:id="61" w:name="_Toc15396608"/>
      <w:bookmarkStart w:id="62" w:name="_Toc940823177"/>
      <w:bookmarkStart w:id="63" w:name="_Toc98464439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60"/>
      <w:bookmarkEnd w:id="61"/>
      <w:bookmarkEnd w:id="62"/>
      <w:bookmarkEnd w:id="63"/>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225.22</w:t>
      </w:r>
      <w:r>
        <w:rPr>
          <w:rFonts w:hint="eastAsia" w:ascii="仿宋" w:hAnsi="仿宋" w:eastAsia="仿宋"/>
          <w:color w:val="auto"/>
          <w:sz w:val="32"/>
          <w:szCs w:val="32"/>
          <w:highlight w:val="none"/>
        </w:rPr>
        <w:t>万元，其中：</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人员经费</w:t>
      </w:r>
      <w:r>
        <w:rPr>
          <w:rFonts w:hint="eastAsia" w:ascii="仿宋" w:hAnsi="仿宋" w:eastAsia="仿宋"/>
          <w:color w:val="auto"/>
          <w:sz w:val="32"/>
          <w:szCs w:val="32"/>
          <w:highlight w:val="none"/>
          <w:lang w:val="en-US" w:eastAsia="zh-CN"/>
        </w:rPr>
        <w:t>200.62</w:t>
      </w:r>
      <w:r>
        <w:rPr>
          <w:rFonts w:hint="eastAsia" w:ascii="仿宋" w:hAnsi="仿宋" w:eastAsia="仿宋"/>
          <w:color w:val="auto"/>
          <w:sz w:val="32"/>
          <w:szCs w:val="32"/>
          <w:highlight w:val="none"/>
          <w:lang w:eastAsia="zh-CN"/>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公用经费</w:t>
      </w:r>
      <w:r>
        <w:rPr>
          <w:rFonts w:hint="eastAsia" w:ascii="仿宋" w:hAnsi="仿宋" w:eastAsia="仿宋"/>
          <w:color w:val="auto"/>
          <w:sz w:val="32"/>
          <w:szCs w:val="32"/>
          <w:highlight w:val="none"/>
          <w:lang w:val="en-US" w:eastAsia="zh-CN"/>
        </w:rPr>
        <w:t>24.6</w:t>
      </w:r>
      <w:r>
        <w:rPr>
          <w:rFonts w:hint="eastAsia" w:ascii="仿宋" w:hAnsi="仿宋" w:eastAsia="仿宋"/>
          <w:color w:val="auto"/>
          <w:sz w:val="32"/>
          <w:szCs w:val="32"/>
          <w:highlight w:val="none"/>
          <w:lang w:eastAsia="zh-CN"/>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color w:val="auto"/>
          <w:highlight w:val="none"/>
        </w:rPr>
      </w:pPr>
      <w:bookmarkStart w:id="64" w:name="_Toc15377215"/>
      <w:bookmarkStart w:id="65" w:name="_Toc1166002059"/>
      <w:bookmarkStart w:id="66" w:name="_Toc634126700"/>
      <w:bookmarkStart w:id="67" w:name="_Toc15396609"/>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64"/>
      <w:bookmarkEnd w:id="65"/>
      <w:bookmarkEnd w:id="66"/>
      <w:bookmarkEnd w:id="67"/>
    </w:p>
    <w:p>
      <w:pPr>
        <w:spacing w:line="600" w:lineRule="exact"/>
        <w:ind w:firstLine="640"/>
        <w:outlineLvl w:val="2"/>
        <w:rPr>
          <w:rFonts w:ascii="仿宋" w:hAnsi="仿宋" w:eastAsia="仿宋"/>
          <w:b/>
          <w:color w:val="auto"/>
          <w:sz w:val="32"/>
          <w:szCs w:val="32"/>
          <w:highlight w:val="none"/>
        </w:rPr>
      </w:pPr>
      <w:bookmarkStart w:id="68" w:name="_Toc15377216"/>
      <w:bookmarkStart w:id="69" w:name="_Toc2111322945"/>
      <w:bookmarkStart w:id="70" w:name="_Toc231562815"/>
      <w:r>
        <w:rPr>
          <w:rFonts w:hint="eastAsia" w:ascii="仿宋" w:hAnsi="仿宋" w:eastAsia="仿宋"/>
          <w:b/>
          <w:color w:val="auto"/>
          <w:sz w:val="32"/>
          <w:szCs w:val="32"/>
          <w:highlight w:val="none"/>
        </w:rPr>
        <w:t>（一）“三公”经费财政拨款支出决算总体情况说明</w:t>
      </w:r>
      <w:bookmarkEnd w:id="68"/>
      <w:bookmarkEnd w:id="69"/>
      <w:bookmarkEnd w:id="70"/>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4.54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96.7</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eastAsia="zh-CN"/>
        </w:rPr>
        <w:t>小于</w:t>
      </w:r>
      <w:r>
        <w:rPr>
          <w:rFonts w:hint="eastAsia" w:ascii="仿宋" w:hAnsi="仿宋" w:eastAsia="仿宋"/>
          <w:color w:val="auto"/>
          <w:sz w:val="32"/>
          <w:szCs w:val="32"/>
          <w:highlight w:val="none"/>
        </w:rPr>
        <w:t>预算数</w:t>
      </w:r>
      <w:r>
        <w:rPr>
          <w:rFonts w:hint="eastAsia" w:ascii="仿宋" w:hAnsi="仿宋" w:eastAsia="仿宋"/>
          <w:color w:val="auto"/>
          <w:sz w:val="32"/>
          <w:szCs w:val="32"/>
          <w:highlight w:val="none"/>
          <w:lang w:eastAsia="zh-CN"/>
        </w:rPr>
        <w:t>，其主要原因是公务用车运行维护费用节约，预算数</w:t>
      </w:r>
      <w:r>
        <w:rPr>
          <w:rFonts w:hint="eastAsia" w:ascii="仿宋" w:hAnsi="仿宋" w:eastAsia="仿宋"/>
          <w:color w:val="auto"/>
          <w:sz w:val="32"/>
          <w:szCs w:val="32"/>
          <w:highlight w:val="none"/>
          <w:lang w:val="en-US" w:eastAsia="zh-CN"/>
        </w:rPr>
        <w:t>3.9万元，决算数3.74万元</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71" w:name="_Toc15377217"/>
      <w:bookmarkStart w:id="72" w:name="_Toc1920874070"/>
      <w:bookmarkStart w:id="73" w:name="_Toc1254749228"/>
      <w:r>
        <w:rPr>
          <w:rFonts w:hint="eastAsia" w:ascii="仿宋" w:hAnsi="仿宋" w:eastAsia="仿宋"/>
          <w:b/>
          <w:color w:val="auto"/>
          <w:sz w:val="32"/>
          <w:szCs w:val="32"/>
          <w:highlight w:val="none"/>
        </w:rPr>
        <w:t>（二）“三公”经费财政拨款支出决算具体情况说明</w:t>
      </w:r>
      <w:bookmarkEnd w:id="71"/>
      <w:bookmarkEnd w:id="72"/>
      <w:bookmarkEnd w:id="7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3.74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14"/>
        <w:rPr>
          <w:rFonts w:hint="eastAsia" w:ascii="仿宋" w:hAnsi="仿宋" w:eastAsia="仿宋"/>
          <w:color w:val="auto"/>
          <w:sz w:val="32"/>
          <w:szCs w:val="32"/>
          <w:highlight w:val="none"/>
        </w:rPr>
      </w:pPr>
      <w:r>
        <w:rPr>
          <w:rFonts w:hint="eastAsia"/>
          <w:lang w:val="en-US" w:eastAsia="zh-CN"/>
        </w:rPr>
        <w:t xml:space="preserve">    </w:t>
      </w:r>
      <w:r>
        <w:drawing>
          <wp:inline distT="0" distB="0" distL="114300" distR="114300">
            <wp:extent cx="4300855" cy="2504440"/>
            <wp:effectExtent l="4445" t="4445" r="19050" b="5715"/>
            <wp:docPr id="5" name="图表 2" descr="7b0a202020202263686172745265734964223a2022343532363833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3.74</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95.9</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小于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p>
    <w:p>
      <w:pPr>
        <w:spacing w:line="600" w:lineRule="exact"/>
        <w:ind w:firstLine="640" w:firstLineChars="200"/>
        <w:rPr>
          <w:rFonts w:hint="eastAsia" w:ascii="仿宋_GB2312" w:eastAsia="仿宋_GB2312"/>
          <w:b/>
          <w:color w:val="auto"/>
          <w:sz w:val="32"/>
          <w:szCs w:val="32"/>
          <w:highlight w:val="none"/>
          <w:lang w:eastAsia="zh-CN"/>
        </w:rPr>
      </w:pPr>
      <w:r>
        <w:rPr>
          <w:rFonts w:hint="eastAsia" w:ascii="仿宋_GB2312" w:eastAsia="仿宋_GB2312"/>
          <w:color w:val="auto"/>
          <w:sz w:val="32"/>
          <w:szCs w:val="32"/>
          <w:highlight w:val="none"/>
        </w:rPr>
        <w:t>其中</w:t>
      </w:r>
      <w:r>
        <w:rPr>
          <w:rFonts w:hint="eastAsia" w:ascii="仿宋_GB2312" w:eastAsia="仿宋_GB2312"/>
          <w:color w:val="auto"/>
          <w:sz w:val="32"/>
          <w:szCs w:val="32"/>
          <w:highlight w:val="none"/>
          <w:lang w:eastAsia="zh-CN"/>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3.74</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水库管理、防汛</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3" w:firstLineChars="200"/>
        <w:rPr>
          <w:rFonts w:ascii="黑体" w:eastAsia="黑体"/>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bookmarkStart w:id="74" w:name="_Toc15377218"/>
      <w:bookmarkStart w:id="75" w:name="_Toc15396610"/>
    </w:p>
    <w:p>
      <w:pPr>
        <w:spacing w:line="600" w:lineRule="exact"/>
        <w:ind w:firstLine="640"/>
        <w:outlineLvl w:val="1"/>
        <w:rPr>
          <w:rStyle w:val="28"/>
          <w:rFonts w:ascii="黑体" w:hAnsi="黑体" w:eastAsia="黑体"/>
          <w:color w:val="auto"/>
          <w:highlight w:val="none"/>
        </w:rPr>
      </w:pPr>
      <w:bookmarkStart w:id="76" w:name="_Toc1566784118"/>
      <w:bookmarkStart w:id="77" w:name="_Toc1728909399"/>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74"/>
      <w:bookmarkEnd w:id="75"/>
      <w:bookmarkEnd w:id="76"/>
      <w:bookmarkEnd w:id="7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ascii="黑体" w:hAnsi="黑体" w:eastAsia="黑体"/>
          <w:b w:val="0"/>
          <w:color w:val="auto"/>
          <w:highlight w:val="none"/>
        </w:rPr>
      </w:pPr>
      <w:bookmarkStart w:id="78" w:name="_Toc15396611"/>
      <w:bookmarkStart w:id="79" w:name="_Toc1502257401"/>
      <w:bookmarkStart w:id="80" w:name="_Toc15377219"/>
      <w:bookmarkStart w:id="81" w:name="_Toc963267823"/>
      <w:r>
        <w:rPr>
          <w:rStyle w:val="28"/>
          <w:rFonts w:hint="eastAsia" w:ascii="黑体" w:hAnsi="黑体" w:eastAsia="黑体"/>
          <w:b w:val="0"/>
          <w:color w:val="auto"/>
          <w:highlight w:val="none"/>
        </w:rPr>
        <w:t>国有资本经营预算支出决算情况说明</w:t>
      </w:r>
      <w:bookmarkEnd w:id="78"/>
      <w:bookmarkEnd w:id="79"/>
      <w:bookmarkEnd w:id="80"/>
      <w:bookmarkEnd w:id="81"/>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hint="eastAsia" w:ascii="黑体" w:hAnsi="黑体" w:eastAsia="黑体"/>
          <w:b w:val="0"/>
          <w:color w:val="auto"/>
          <w:highlight w:val="none"/>
        </w:rPr>
      </w:pPr>
      <w:bookmarkStart w:id="82" w:name="_Toc15377221"/>
      <w:bookmarkStart w:id="83" w:name="_Toc15396612"/>
      <w:bookmarkStart w:id="84" w:name="_Toc2085475365"/>
      <w:bookmarkStart w:id="85" w:name="_Toc48007972"/>
      <w:r>
        <w:rPr>
          <w:rStyle w:val="28"/>
          <w:rFonts w:hint="eastAsia" w:ascii="黑体" w:hAnsi="黑体" w:eastAsia="黑体"/>
          <w:b w:val="0"/>
          <w:color w:val="auto"/>
          <w:highlight w:val="none"/>
        </w:rPr>
        <w:t>其他重要事项的情况说明</w:t>
      </w:r>
      <w:bookmarkEnd w:id="82"/>
      <w:bookmarkEnd w:id="83"/>
      <w:bookmarkEnd w:id="84"/>
      <w:bookmarkEnd w:id="85"/>
    </w:p>
    <w:p>
      <w:pPr>
        <w:spacing w:line="600" w:lineRule="exact"/>
        <w:ind w:firstLine="643" w:firstLineChars="200"/>
        <w:outlineLvl w:val="2"/>
        <w:rPr>
          <w:rFonts w:ascii="仿宋" w:hAnsi="仿宋" w:eastAsia="仿宋"/>
          <w:color w:val="auto"/>
          <w:sz w:val="32"/>
          <w:szCs w:val="32"/>
          <w:highlight w:val="none"/>
        </w:rPr>
      </w:pPr>
      <w:bookmarkStart w:id="86" w:name="_Toc210170134"/>
      <w:bookmarkStart w:id="87" w:name="_Toc853589999"/>
      <w:bookmarkStart w:id="88" w:name="_Toc15377222"/>
      <w:r>
        <w:rPr>
          <w:rFonts w:hint="eastAsia" w:ascii="仿宋" w:hAnsi="仿宋" w:eastAsia="仿宋"/>
          <w:b/>
          <w:color w:val="auto"/>
          <w:sz w:val="32"/>
          <w:szCs w:val="32"/>
          <w:highlight w:val="none"/>
        </w:rPr>
        <w:t>（一）机关运行经费支出情况</w:t>
      </w:r>
      <w:bookmarkEnd w:id="86"/>
      <w:bookmarkEnd w:id="87"/>
      <w:bookmarkEnd w:id="88"/>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225.22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15.91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7.6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职工正常范围内工资水平上涨。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9" w:name="_Toc1391659454"/>
      <w:bookmarkStart w:id="90" w:name="_Toc2070796485"/>
      <w:bookmarkStart w:id="91" w:name="_Toc15377223"/>
      <w:r>
        <w:rPr>
          <w:rFonts w:hint="eastAsia" w:ascii="仿宋" w:hAnsi="仿宋" w:eastAsia="仿宋"/>
          <w:b/>
          <w:color w:val="auto"/>
          <w:sz w:val="32"/>
          <w:szCs w:val="32"/>
          <w:highlight w:val="none"/>
        </w:rPr>
        <w:t>（二）政府采购支出情况</w:t>
      </w:r>
      <w:bookmarkEnd w:id="89"/>
      <w:bookmarkEnd w:id="90"/>
      <w:bookmarkEnd w:id="91"/>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131.15</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131.15</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水库水毁恢复重建工程</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92" w:name="_Toc87921467"/>
      <w:bookmarkStart w:id="93" w:name="_Toc15377224"/>
      <w:bookmarkStart w:id="94" w:name="_Toc470917682"/>
      <w:r>
        <w:rPr>
          <w:rFonts w:hint="eastAsia" w:ascii="仿宋" w:hAnsi="仿宋" w:eastAsia="仿宋"/>
          <w:b/>
          <w:color w:val="auto"/>
          <w:sz w:val="32"/>
          <w:szCs w:val="32"/>
          <w:highlight w:val="none"/>
        </w:rPr>
        <w:t>（三）国有资产占有使用情况</w:t>
      </w:r>
      <w:bookmarkEnd w:id="92"/>
      <w:bookmarkEnd w:id="93"/>
      <w:bookmarkEnd w:id="9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系防汛抗旱特种专业技术车辆</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95" w:name="_Toc1047873880"/>
      <w:bookmarkStart w:id="96" w:name="_Toc1460805698"/>
      <w:r>
        <w:rPr>
          <w:rFonts w:hint="eastAsia" w:ascii="仿宋" w:hAnsi="仿宋" w:eastAsia="仿宋"/>
          <w:b/>
          <w:color w:val="auto"/>
          <w:sz w:val="32"/>
          <w:szCs w:val="32"/>
          <w:highlight w:val="none"/>
        </w:rPr>
        <w:t>（四）预算绩效管理情况</w:t>
      </w:r>
      <w:bookmarkEnd w:id="95"/>
      <w:bookmarkEnd w:id="96"/>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发展类</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sz w:val="32"/>
          <w:szCs w:val="32"/>
        </w:rPr>
        <w:t>水库日常养护、水资源保护、防汛）开展了预算事前绩效评估，对3个项目编制了绩效目标，预算执行过程中，选取3个项目开展绩效监控，年终执行完毕后，对3个项目开展了绩效目标完成情况自评。从评价情况来看整体绩效优良，保证了水库正常运行，保障了度汛安全，也为经济社会发展提供了水资源保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rPr>
        <w:t>项目绩效目标完成情况。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水库日常养护项目绩效目标完成情况综述。项目全年预算数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万元，完成预算的100%。通过项目实施，</w:t>
      </w:r>
      <w:r>
        <w:rPr>
          <w:rFonts w:hint="eastAsia" w:ascii="仿宋_GB2312" w:hAnsi="仿宋_GB2312" w:eastAsia="仿宋_GB2312" w:cs="仿宋_GB2312"/>
          <w:sz w:val="32"/>
          <w:szCs w:val="32"/>
          <w:lang w:val="zh-CN"/>
        </w:rPr>
        <w:t>对水库主副坝、放水设施、放空设施、观测设施、输配电线路及设施设备进行常规性保养和维护，确保水库安全运行，</w:t>
      </w:r>
      <w:r>
        <w:rPr>
          <w:rFonts w:hint="eastAsia" w:ascii="仿宋_GB2312" w:hAnsi="仿宋_GB2312" w:eastAsia="仿宋_GB2312" w:cs="仿宋_GB2312"/>
          <w:sz w:val="32"/>
          <w:szCs w:val="32"/>
        </w:rPr>
        <w:t>配合水资源调度，保障度汛安全。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水资源保护项目绩效目标完成情况综述。项目全年预算数</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完成预算的100%，通过项目实施，开展水资源保护宣传，开展取用水管理专项整治行动，加强水资源监督，规范取用水行为管理，放养滤食性鱼苗净化水质，组建警务室，聘请专人对库周及水面垃圾进行日常清理、保洁和水面巡视，及时处置和预防水污染事件，保护水质安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防汛项目绩效目标完成情况综述。项目全年预算数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万元，完成预算的100%。通过项目实施，</w:t>
      </w:r>
      <w:r>
        <w:rPr>
          <w:rFonts w:hint="eastAsia" w:ascii="仿宋_GB2312" w:hAnsi="仿宋_GB2312" w:eastAsia="仿宋_GB2312" w:cs="仿宋_GB2312"/>
          <w:sz w:val="32"/>
          <w:szCs w:val="32"/>
          <w:lang w:val="zh-CN"/>
        </w:rPr>
        <w:t>开展水旱灾害防御宣传培训，编制预案，提高防汛减灾能力，购置防汛应急物资，配置完善防汛值班室，汛期24小时值班值守，巡视巡查、应急演练和抢险，确保水库安全度汛。</w:t>
      </w:r>
    </w:p>
    <w:p>
      <w:pPr>
        <w:keepNext w:val="0"/>
        <w:keepLines w:val="0"/>
        <w:pageBreakBefore w:val="0"/>
        <w:kinsoku/>
        <w:wordWrap/>
        <w:overflowPunct/>
        <w:topLinePunct w:val="0"/>
        <w:autoSpaceDE/>
        <w:autoSpaceDN/>
        <w:bidi w:val="0"/>
        <w:adjustRightInd/>
        <w:snapToGrid/>
        <w:spacing w:line="240" w:lineRule="atLeast"/>
      </w:pPr>
      <w:r>
        <w:br w:type="page"/>
      </w:r>
    </w:p>
    <w:tbl>
      <w:tblPr>
        <w:tblStyle w:val="15"/>
        <w:tblpPr w:leftFromText="180" w:rightFromText="180" w:vertAnchor="text" w:horzAnchor="page" w:tblpXSpec="center" w:tblpY="93"/>
        <w:tblOverlap w:val="never"/>
        <w:tblW w:w="9420" w:type="dxa"/>
        <w:jc w:val="center"/>
        <w:tblLayout w:type="fixed"/>
        <w:tblCellMar>
          <w:top w:w="0" w:type="dxa"/>
          <w:left w:w="0" w:type="dxa"/>
          <w:bottom w:w="0" w:type="dxa"/>
          <w:right w:w="0" w:type="dxa"/>
        </w:tblCellMar>
      </w:tblPr>
      <w:tblGrid>
        <w:gridCol w:w="638"/>
        <w:gridCol w:w="1143"/>
        <w:gridCol w:w="1033"/>
        <w:gridCol w:w="1793"/>
        <w:gridCol w:w="2549"/>
        <w:gridCol w:w="2264"/>
      </w:tblGrid>
      <w:tr>
        <w:tblPrEx>
          <w:tblCellMar>
            <w:top w:w="0" w:type="dxa"/>
            <w:left w:w="0" w:type="dxa"/>
            <w:bottom w:w="0" w:type="dxa"/>
            <w:right w:w="0" w:type="dxa"/>
          </w:tblCellMar>
        </w:tblPrEx>
        <w:trPr>
          <w:trHeight w:val="1187" w:hRule="atLeast"/>
          <w:jc w:val="center"/>
        </w:trPr>
        <w:tc>
          <w:tcPr>
            <w:tcW w:w="9420" w:type="dxa"/>
            <w:gridSpan w:val="6"/>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keepNext w:val="0"/>
              <w:keepLines w:val="0"/>
              <w:pageBreakBefore w:val="0"/>
              <w:widowControl/>
              <w:kinsoku/>
              <w:wordWrap/>
              <w:overflowPunct/>
              <w:topLinePunct w:val="0"/>
              <w:autoSpaceDE/>
              <w:autoSpaceDN/>
              <w:bidi w:val="0"/>
              <w:adjustRightInd/>
              <w:snapToGrid/>
              <w:spacing w:line="240" w:lineRule="atLeast"/>
              <w:jc w:val="center"/>
              <w:textAlignment w:val="center"/>
              <w:rPr>
                <w:rFonts w:ascii="宋体" w:cs="宋体"/>
                <w:color w:val="000000"/>
                <w:sz w:val="36"/>
                <w:szCs w:val="36"/>
              </w:rPr>
            </w:pPr>
            <w:r>
              <w:rPr>
                <w:rFonts w:ascii="宋体" w:hAnsi="宋体" w:cs="宋体"/>
                <w:color w:val="000000"/>
                <w:kern w:val="0"/>
                <w:sz w:val="36"/>
                <w:szCs w:val="36"/>
                <w:lang w:bidi="ar"/>
              </w:rPr>
              <w:t>(202</w:t>
            </w:r>
            <w:r>
              <w:rPr>
                <w:rFonts w:hint="eastAsia" w:ascii="宋体" w:hAnsi="宋体" w:cs="宋体"/>
                <w:color w:val="000000"/>
                <w:kern w:val="0"/>
                <w:sz w:val="36"/>
                <w:szCs w:val="36"/>
                <w:lang w:val="en-US" w:eastAsia="zh-CN" w:bidi="ar"/>
              </w:rPr>
              <w:t>1</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610" w:hRule="atLeast"/>
          <w:jc w:val="center"/>
        </w:trPr>
        <w:tc>
          <w:tcPr>
            <w:tcW w:w="28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66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水库日常养护</w:t>
            </w:r>
          </w:p>
        </w:tc>
      </w:tr>
      <w:tr>
        <w:tblPrEx>
          <w:tblCellMar>
            <w:top w:w="0" w:type="dxa"/>
            <w:left w:w="0" w:type="dxa"/>
            <w:bottom w:w="0" w:type="dxa"/>
            <w:right w:w="0" w:type="dxa"/>
          </w:tblCellMar>
        </w:tblPrEx>
        <w:trPr>
          <w:trHeight w:val="610" w:hRule="atLeast"/>
          <w:jc w:val="center"/>
        </w:trPr>
        <w:tc>
          <w:tcPr>
            <w:tcW w:w="28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预算单位</w:t>
            </w:r>
          </w:p>
        </w:tc>
        <w:tc>
          <w:tcPr>
            <w:tcW w:w="66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巴中市化成水库运行保护中心</w:t>
            </w:r>
          </w:p>
        </w:tc>
      </w:tr>
      <w:tr>
        <w:tblPrEx>
          <w:tblCellMar>
            <w:top w:w="0" w:type="dxa"/>
            <w:left w:w="0" w:type="dxa"/>
            <w:bottom w:w="0" w:type="dxa"/>
            <w:right w:w="0" w:type="dxa"/>
          </w:tblCellMar>
        </w:tblPrEx>
        <w:trPr>
          <w:trHeight w:val="610"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预算执行情况(万元)</w:t>
            </w:r>
          </w:p>
        </w:tc>
        <w:tc>
          <w:tcPr>
            <w:tcW w:w="2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预算数:</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执行数:</w:t>
            </w: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r>
      <w:tr>
        <w:tblPrEx>
          <w:tblCellMar>
            <w:top w:w="0" w:type="dxa"/>
            <w:left w:w="0" w:type="dxa"/>
            <w:bottom w:w="0" w:type="dxa"/>
            <w:right w:w="0" w:type="dxa"/>
          </w:tblCellMar>
        </w:tblPrEx>
        <w:trPr>
          <w:trHeight w:val="610"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r>
      <w:tr>
        <w:tblPrEx>
          <w:tblCellMar>
            <w:top w:w="0" w:type="dxa"/>
            <w:left w:w="0" w:type="dxa"/>
            <w:bottom w:w="0" w:type="dxa"/>
            <w:right w:w="0" w:type="dxa"/>
          </w:tblCellMar>
        </w:tblPrEx>
        <w:trPr>
          <w:trHeight w:val="449"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r>
      <w:tr>
        <w:tblPrEx>
          <w:tblCellMar>
            <w:top w:w="0" w:type="dxa"/>
            <w:left w:w="0" w:type="dxa"/>
            <w:bottom w:w="0" w:type="dxa"/>
            <w:right w:w="0" w:type="dxa"/>
          </w:tblCellMar>
        </w:tblPrEx>
        <w:trPr>
          <w:trHeight w:val="610"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年度目标完成情况</w:t>
            </w:r>
          </w:p>
        </w:tc>
        <w:tc>
          <w:tcPr>
            <w:tcW w:w="396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预期目标</w:t>
            </w:r>
          </w:p>
        </w:tc>
        <w:tc>
          <w:tcPr>
            <w:tcW w:w="48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2300"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96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对水库主副坝、放水设施、放空设施、观测设施、输配电线路及设施设备进行常规性保养和维护，</w:t>
            </w:r>
            <w:r>
              <w:rPr>
                <w:rFonts w:hint="eastAsia" w:ascii="宋体" w:hAnsi="宋体" w:cs="宋体"/>
                <w:color w:val="000000"/>
                <w:kern w:val="0"/>
                <w:sz w:val="24"/>
                <w:lang w:bidi="ar"/>
              </w:rPr>
              <w:t>配合水资源调度，</w:t>
            </w:r>
            <w:r>
              <w:rPr>
                <w:rFonts w:hint="eastAsia" w:ascii="宋体" w:hAnsi="宋体" w:cs="宋体"/>
                <w:color w:val="000000"/>
                <w:kern w:val="0"/>
                <w:sz w:val="24"/>
                <w:lang w:val="zh-CN" w:bidi="ar"/>
              </w:rPr>
              <w:t>确保水库安全运行。</w:t>
            </w:r>
          </w:p>
        </w:tc>
        <w:tc>
          <w:tcPr>
            <w:tcW w:w="48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对水库主副坝、放水设施、放空设施、观测设施、输配电线路及设施设备进行常规性保养和维护，确保水库安全运行，</w:t>
            </w:r>
            <w:r>
              <w:rPr>
                <w:rFonts w:hint="eastAsia" w:ascii="宋体" w:hAnsi="宋体" w:cs="宋体"/>
                <w:color w:val="000000"/>
                <w:kern w:val="0"/>
                <w:sz w:val="24"/>
                <w:lang w:bidi="ar"/>
              </w:rPr>
              <w:t>配合水资源调度，保障度汛安全。</w:t>
            </w:r>
          </w:p>
        </w:tc>
      </w:tr>
      <w:tr>
        <w:tblPrEx>
          <w:tblCellMar>
            <w:top w:w="0" w:type="dxa"/>
            <w:left w:w="0" w:type="dxa"/>
            <w:bottom w:w="0" w:type="dxa"/>
            <w:right w:w="0" w:type="dxa"/>
          </w:tblCellMar>
        </w:tblPrEx>
        <w:trPr>
          <w:trHeight w:val="962" w:hRule="atLeast"/>
          <w:jc w:val="center"/>
        </w:trPr>
        <w:tc>
          <w:tcPr>
            <w:tcW w:w="6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绩效指标完成情况</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一级指标</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二级指标</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三级指标</w:t>
            </w: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预期指标值(包含数字及文字描述)</w:t>
            </w: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794" w:hRule="atLeast"/>
          <w:jc w:val="center"/>
        </w:trPr>
        <w:tc>
          <w:tcPr>
            <w:tcW w:w="63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质量指标</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工程构建正常工作</w:t>
            </w: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工程构建正常工作</w:t>
            </w:r>
          </w:p>
        </w:tc>
      </w:tr>
      <w:tr>
        <w:tblPrEx>
          <w:tblCellMar>
            <w:top w:w="0" w:type="dxa"/>
            <w:left w:w="0" w:type="dxa"/>
            <w:bottom w:w="0" w:type="dxa"/>
            <w:right w:w="0" w:type="dxa"/>
          </w:tblCellMar>
        </w:tblPrEx>
        <w:trPr>
          <w:trHeight w:val="2101" w:hRule="atLeast"/>
          <w:jc w:val="center"/>
        </w:trPr>
        <w:tc>
          <w:tcPr>
            <w:tcW w:w="63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24"/>
                <w:lang w:val="zh-CN" w:bidi="ar"/>
              </w:rPr>
              <w:t>对水库主副坝、放水设施、放空设施、观测设施、输配电线路及设施设备进行常规性保养和维护</w:t>
            </w: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24"/>
                <w:lang w:val="zh-CN" w:bidi="ar"/>
              </w:rPr>
              <w:t>对水库主副坝、放水设施、放空设施、观测设施、输配电线路及设施设备进行常规性保养和维护</w:t>
            </w:r>
          </w:p>
        </w:tc>
      </w:tr>
      <w:tr>
        <w:tblPrEx>
          <w:tblCellMar>
            <w:top w:w="0" w:type="dxa"/>
            <w:left w:w="0" w:type="dxa"/>
            <w:bottom w:w="0" w:type="dxa"/>
            <w:right w:w="0" w:type="dxa"/>
          </w:tblCellMar>
        </w:tblPrEx>
        <w:trPr>
          <w:trHeight w:val="1197" w:hRule="atLeast"/>
          <w:jc w:val="center"/>
        </w:trPr>
        <w:tc>
          <w:tcPr>
            <w:tcW w:w="63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提升农村供水保证率和用水方便程度</w:t>
            </w: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提升农村供水保证率和用水方便程度</w:t>
            </w:r>
          </w:p>
        </w:tc>
      </w:tr>
      <w:tr>
        <w:tblPrEx>
          <w:tblCellMar>
            <w:top w:w="0" w:type="dxa"/>
            <w:left w:w="0" w:type="dxa"/>
            <w:bottom w:w="0" w:type="dxa"/>
            <w:right w:w="0" w:type="dxa"/>
          </w:tblCellMar>
        </w:tblPrEx>
        <w:trPr>
          <w:trHeight w:val="1206" w:hRule="atLeast"/>
          <w:jc w:val="center"/>
        </w:trPr>
        <w:tc>
          <w:tcPr>
            <w:tcW w:w="6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服务对象满意度</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群众满意度</w:t>
            </w: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widowControl/>
        <w:jc w:val="left"/>
        <w:rPr>
          <w:rFonts w:ascii="仿宋_GB2312" w:eastAsia="仿宋_GB2312"/>
          <w:b/>
          <w:color w:val="000000"/>
          <w:sz w:val="32"/>
          <w:szCs w:val="32"/>
        </w:rPr>
      </w:pPr>
    </w:p>
    <w:p>
      <w:pPr>
        <w:widowControl/>
        <w:ind w:firstLine="220" w:firstLineChars="200"/>
        <w:jc w:val="center"/>
        <w:textAlignment w:val="center"/>
        <w:rPr>
          <w:rFonts w:hint="eastAsia" w:ascii="宋体" w:hAnsi="宋体" w:cs="宋体"/>
          <w:b w:val="0"/>
          <w:bCs w:val="0"/>
          <w:color w:val="000000"/>
          <w:kern w:val="0"/>
          <w:sz w:val="11"/>
          <w:szCs w:val="11"/>
          <w:lang w:eastAsia="zh-CN" w:bidi="ar"/>
        </w:rPr>
      </w:pPr>
      <w:r>
        <w:rPr>
          <w:rFonts w:hint="eastAsia" w:ascii="宋体" w:hAnsi="宋体" w:cs="宋体"/>
          <w:b w:val="0"/>
          <w:bCs w:val="0"/>
          <w:color w:val="000000"/>
          <w:kern w:val="0"/>
          <w:sz w:val="11"/>
          <w:szCs w:val="11"/>
          <w:lang w:eastAsia="zh-CN" w:bidi="ar"/>
        </w:rPr>
        <w:br w:type="page"/>
      </w:r>
    </w:p>
    <w:tbl>
      <w:tblPr>
        <w:tblStyle w:val="15"/>
        <w:tblpPr w:leftFromText="180" w:rightFromText="180" w:vertAnchor="text" w:horzAnchor="page" w:tblpXSpec="center" w:tblpY="93"/>
        <w:tblOverlap w:val="never"/>
        <w:tblW w:w="9960" w:type="dxa"/>
        <w:jc w:val="center"/>
        <w:tblLayout w:type="fixed"/>
        <w:tblCellMar>
          <w:top w:w="0" w:type="dxa"/>
          <w:left w:w="0" w:type="dxa"/>
          <w:bottom w:w="0" w:type="dxa"/>
          <w:right w:w="0" w:type="dxa"/>
        </w:tblCellMar>
      </w:tblPr>
      <w:tblGrid>
        <w:gridCol w:w="728"/>
        <w:gridCol w:w="1156"/>
        <w:gridCol w:w="1092"/>
        <w:gridCol w:w="1896"/>
        <w:gridCol w:w="2696"/>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ind w:firstLine="220" w:firstLineChars="200"/>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val="0"/>
                <w:bCs w:val="0"/>
                <w:color w:val="000000"/>
                <w:kern w:val="0"/>
                <w:sz w:val="11"/>
                <w:szCs w:val="11"/>
                <w:lang w:eastAsia="zh-CN" w:bidi="ar"/>
              </w:rPr>
              <w:br w:type="page"/>
            </w:r>
            <w:r>
              <w:rPr>
                <w:rFonts w:hint="eastAsia" w:ascii="宋体" w:hAnsi="宋体" w:cs="宋体"/>
                <w:b/>
                <w:bCs/>
                <w:color w:val="000000"/>
                <w:kern w:val="0"/>
                <w:sz w:val="36"/>
                <w:szCs w:val="36"/>
                <w:lang w:bidi="ar"/>
              </w:rPr>
              <w:br w:type="page"/>
            </w: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w:t>
            </w:r>
            <w:r>
              <w:rPr>
                <w:rFonts w:hint="eastAsia" w:ascii="宋体" w:hAnsi="宋体" w:cs="宋体"/>
                <w:color w:val="000000"/>
                <w:kern w:val="0"/>
                <w:sz w:val="36"/>
                <w:szCs w:val="36"/>
                <w:lang w:val="en-US" w:eastAsia="zh-CN" w:bidi="ar"/>
              </w:rPr>
              <w:t>1</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9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69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防汛</w:t>
            </w:r>
          </w:p>
        </w:tc>
      </w:tr>
      <w:tr>
        <w:tblPrEx>
          <w:tblCellMar>
            <w:top w:w="0" w:type="dxa"/>
            <w:left w:w="0" w:type="dxa"/>
            <w:bottom w:w="0" w:type="dxa"/>
            <w:right w:w="0" w:type="dxa"/>
          </w:tblCellMar>
        </w:tblPrEx>
        <w:trPr>
          <w:trHeight w:val="276" w:hRule="atLeast"/>
          <w:jc w:val="center"/>
        </w:trPr>
        <w:tc>
          <w:tcPr>
            <w:tcW w:w="29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预算单位</w:t>
            </w:r>
          </w:p>
        </w:tc>
        <w:tc>
          <w:tcPr>
            <w:tcW w:w="69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巴中市化成水库运行保护中心</w:t>
            </w:r>
          </w:p>
        </w:tc>
      </w:tr>
      <w:tr>
        <w:tblPrEx>
          <w:tblCellMar>
            <w:top w:w="0" w:type="dxa"/>
            <w:left w:w="0" w:type="dxa"/>
            <w:bottom w:w="0" w:type="dxa"/>
            <w:right w:w="0" w:type="dxa"/>
          </w:tblCellMar>
        </w:tblPrEx>
        <w:trPr>
          <w:trHeight w:val="276" w:hRule="atLeast"/>
          <w:jc w:val="center"/>
        </w:trPr>
        <w:tc>
          <w:tcPr>
            <w:tcW w:w="7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预算执行情况(万元)</w:t>
            </w:r>
          </w:p>
        </w:tc>
        <w:tc>
          <w:tcPr>
            <w:tcW w:w="22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预算数:</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r>
      <w:tr>
        <w:tblPrEx>
          <w:tblCellMar>
            <w:top w:w="0" w:type="dxa"/>
            <w:left w:w="0" w:type="dxa"/>
            <w:bottom w:w="0" w:type="dxa"/>
            <w:right w:w="0" w:type="dxa"/>
          </w:tblCellMar>
        </w:tblPrEx>
        <w:trPr>
          <w:trHeight w:val="276"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2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万元</w:t>
            </w:r>
          </w:p>
        </w:tc>
      </w:tr>
      <w:tr>
        <w:tblPrEx>
          <w:tblCellMar>
            <w:top w:w="0" w:type="dxa"/>
            <w:left w:w="0" w:type="dxa"/>
            <w:bottom w:w="0" w:type="dxa"/>
            <w:right w:w="0" w:type="dxa"/>
          </w:tblCellMar>
        </w:tblPrEx>
        <w:trPr>
          <w:trHeight w:val="561"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2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r>
      <w:tr>
        <w:tblPrEx>
          <w:tblCellMar>
            <w:top w:w="0" w:type="dxa"/>
            <w:left w:w="0" w:type="dxa"/>
            <w:bottom w:w="0" w:type="dxa"/>
            <w:right w:w="0" w:type="dxa"/>
          </w:tblCellMar>
        </w:tblPrEx>
        <w:trPr>
          <w:trHeight w:val="276" w:hRule="atLeast"/>
          <w:jc w:val="center"/>
        </w:trPr>
        <w:tc>
          <w:tcPr>
            <w:tcW w:w="7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年度目标完成情况</w:t>
            </w:r>
          </w:p>
        </w:tc>
        <w:tc>
          <w:tcPr>
            <w:tcW w:w="41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预期目标</w:t>
            </w:r>
          </w:p>
        </w:tc>
        <w:tc>
          <w:tcPr>
            <w:tcW w:w="5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41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开展水旱灾害防御宣传培训，编制预案，提高防汛减灾能力，购置防汛应急物资，配置完善防汛值班室，汛期24小时值班值守，巡视巡查、应急演练和抢险，确保水库安全度汛。</w:t>
            </w:r>
          </w:p>
        </w:tc>
        <w:tc>
          <w:tcPr>
            <w:tcW w:w="5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开展水旱灾害防御宣传培训，编制预案，提高防汛减灾能力，购置防汛应急物资，配置完善防汛值班室，汛期24小时值班值守，巡视巡查、应急演练和抢险，确保水库安全度汛。</w:t>
            </w:r>
          </w:p>
        </w:tc>
      </w:tr>
      <w:tr>
        <w:tblPrEx>
          <w:tblCellMar>
            <w:top w:w="0" w:type="dxa"/>
            <w:left w:w="0" w:type="dxa"/>
            <w:bottom w:w="0" w:type="dxa"/>
            <w:right w:w="0" w:type="dxa"/>
          </w:tblCellMar>
        </w:tblPrEx>
        <w:trPr>
          <w:trHeight w:val="1042" w:hRule="atLeast"/>
          <w:jc w:val="center"/>
        </w:trPr>
        <w:tc>
          <w:tcPr>
            <w:tcW w:w="72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绩效指标完成情况</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一级指标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二级指标</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三级指标</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1328"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数量指标</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防汛物资添置</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雨衣水鞋</w:t>
            </w:r>
            <w:r>
              <w:rPr>
                <w:rFonts w:hint="eastAsia" w:ascii="宋体" w:hAnsi="宋体" w:cs="宋体"/>
                <w:color w:val="000000"/>
                <w:kern w:val="0"/>
                <w:sz w:val="24"/>
                <w:lang w:val="en-US" w:eastAsia="zh-CN" w:bidi="ar"/>
              </w:rPr>
              <w:t>30</w:t>
            </w:r>
            <w:r>
              <w:rPr>
                <w:rFonts w:hint="eastAsia" w:ascii="宋体" w:hAnsi="宋体" w:cs="宋体"/>
                <w:color w:val="000000"/>
                <w:kern w:val="0"/>
                <w:sz w:val="24"/>
                <w:lang w:bidi="ar"/>
              </w:rPr>
              <w:t>套；电筒、灭火器10套、备用电源等物资</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防汛物资添置充足</w:t>
            </w:r>
          </w:p>
        </w:tc>
      </w:tr>
      <w:tr>
        <w:tblPrEx>
          <w:tblCellMar>
            <w:top w:w="0" w:type="dxa"/>
            <w:left w:w="0" w:type="dxa"/>
            <w:bottom w:w="0" w:type="dxa"/>
            <w:right w:w="0" w:type="dxa"/>
          </w:tblCellMar>
        </w:tblPrEx>
        <w:trPr>
          <w:trHeight w:val="875"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cs="宋体"/>
                <w:color w:val="000000"/>
                <w:sz w:val="24"/>
              </w:rPr>
            </w:pPr>
            <w:r>
              <w:rPr>
                <w:rFonts w:hint="eastAsia" w:ascii="宋体" w:cs="宋体"/>
                <w:color w:val="000000"/>
                <w:sz w:val="24"/>
              </w:rPr>
              <w:t>时效指标</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防汛预案编制、防汛演练</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一年一次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一年一次</w:t>
            </w:r>
          </w:p>
        </w:tc>
      </w:tr>
      <w:tr>
        <w:tblPrEx>
          <w:tblCellMar>
            <w:top w:w="0" w:type="dxa"/>
            <w:left w:w="0" w:type="dxa"/>
            <w:bottom w:w="0" w:type="dxa"/>
            <w:right w:w="0" w:type="dxa"/>
          </w:tblCellMar>
        </w:tblPrEx>
        <w:trPr>
          <w:trHeight w:val="1042"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确保人民群众生命财产安全</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938"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kern w:val="0"/>
                <w:sz w:val="24"/>
                <w:lang w:bidi="ar"/>
              </w:rPr>
            </w:pPr>
            <w:r>
              <w:rPr>
                <w:rFonts w:hint="eastAsia" w:ascii="宋体" w:hAnsi="宋体" w:cs="宋体"/>
                <w:color w:val="000000"/>
                <w:kern w:val="0"/>
                <w:sz w:val="24"/>
                <w:lang w:bidi="ar"/>
              </w:rPr>
              <w:t>效益指标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可持续影响</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防汛避险知识和能力</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显著提高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显著提高</w:t>
            </w:r>
          </w:p>
        </w:tc>
      </w:tr>
      <w:tr>
        <w:tblPrEx>
          <w:tblCellMar>
            <w:top w:w="0" w:type="dxa"/>
            <w:left w:w="0" w:type="dxa"/>
            <w:bottom w:w="0" w:type="dxa"/>
            <w:right w:w="0" w:type="dxa"/>
          </w:tblCellMar>
        </w:tblPrEx>
        <w:trPr>
          <w:trHeight w:val="823" w:hRule="atLeast"/>
          <w:jc w:val="center"/>
        </w:trPr>
        <w:tc>
          <w:tcPr>
            <w:tcW w:w="72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服务对象满意度</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群众对防汛工作满意度</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90%以上</w:t>
            </w:r>
          </w:p>
        </w:tc>
      </w:tr>
    </w:tbl>
    <w:p>
      <w:pPr>
        <w:widowControl/>
        <w:spacing w:line="240" w:lineRule="auto"/>
        <w:jc w:val="center"/>
        <w:textAlignment w:val="center"/>
        <w:rPr>
          <w:rFonts w:hint="eastAsia" w:ascii="宋体" w:hAnsi="宋体" w:cs="宋体"/>
          <w:b/>
          <w:bCs/>
          <w:color w:val="000000"/>
          <w:kern w:val="0"/>
          <w:sz w:val="36"/>
          <w:szCs w:val="36"/>
          <w:lang w:bidi="ar"/>
        </w:rPr>
      </w:pPr>
      <w:r>
        <w:rPr>
          <w:rFonts w:hint="eastAsia" w:ascii="宋体" w:hAnsi="宋体" w:cs="宋体"/>
          <w:b/>
          <w:bCs/>
          <w:color w:val="000000"/>
          <w:kern w:val="0"/>
          <w:sz w:val="36"/>
          <w:szCs w:val="36"/>
          <w:lang w:bidi="ar"/>
        </w:rPr>
        <w:br w:type="page"/>
      </w:r>
    </w:p>
    <w:tbl>
      <w:tblPr>
        <w:tblStyle w:val="15"/>
        <w:tblpPr w:leftFromText="180" w:rightFromText="180" w:vertAnchor="text" w:horzAnchor="page" w:tblpXSpec="center" w:tblpY="1"/>
        <w:tblOverlap w:val="never"/>
        <w:tblW w:w="9960" w:type="dxa"/>
        <w:jc w:val="center"/>
        <w:tblLayout w:type="fixed"/>
        <w:tblCellMar>
          <w:top w:w="0" w:type="dxa"/>
          <w:left w:w="0" w:type="dxa"/>
          <w:bottom w:w="0" w:type="dxa"/>
          <w:right w:w="0" w:type="dxa"/>
        </w:tblCellMar>
      </w:tblPr>
      <w:tblGrid>
        <w:gridCol w:w="728"/>
        <w:gridCol w:w="1156"/>
        <w:gridCol w:w="1092"/>
        <w:gridCol w:w="1896"/>
        <w:gridCol w:w="2696"/>
        <w:gridCol w:w="2392"/>
      </w:tblGrid>
      <w:tr>
        <w:tblPrEx>
          <w:tblCellMar>
            <w:top w:w="0" w:type="dxa"/>
            <w:left w:w="0" w:type="dxa"/>
            <w:bottom w:w="0" w:type="dxa"/>
            <w:right w:w="0" w:type="dxa"/>
          </w:tblCellMar>
        </w:tblPrEx>
        <w:trPr>
          <w:trHeight w:val="1890"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spacing w:line="240" w:lineRule="auto"/>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spacing w:line="240" w:lineRule="auto"/>
              <w:jc w:val="center"/>
              <w:textAlignment w:val="center"/>
              <w:rPr>
                <w:rFonts w:ascii="宋体" w:cs="宋体"/>
                <w:color w:val="000000"/>
                <w:sz w:val="36"/>
                <w:szCs w:val="36"/>
              </w:rPr>
            </w:pPr>
            <w:r>
              <w:rPr>
                <w:rFonts w:ascii="宋体" w:hAnsi="宋体" w:cs="宋体"/>
                <w:color w:val="000000"/>
                <w:kern w:val="0"/>
                <w:sz w:val="36"/>
                <w:szCs w:val="36"/>
                <w:lang w:bidi="ar"/>
              </w:rPr>
              <w:t>(202</w:t>
            </w:r>
            <w:r>
              <w:rPr>
                <w:rFonts w:hint="eastAsia" w:ascii="宋体" w:hAnsi="宋体" w:cs="宋体"/>
                <w:color w:val="000000"/>
                <w:kern w:val="0"/>
                <w:sz w:val="36"/>
                <w:szCs w:val="36"/>
                <w:lang w:val="en-US" w:eastAsia="zh-CN" w:bidi="ar"/>
              </w:rPr>
              <w:t>1</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9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69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水资源保护</w:t>
            </w:r>
          </w:p>
        </w:tc>
      </w:tr>
      <w:tr>
        <w:tblPrEx>
          <w:tblCellMar>
            <w:top w:w="0" w:type="dxa"/>
            <w:left w:w="0" w:type="dxa"/>
            <w:bottom w:w="0" w:type="dxa"/>
            <w:right w:w="0" w:type="dxa"/>
          </w:tblCellMar>
        </w:tblPrEx>
        <w:trPr>
          <w:trHeight w:val="276" w:hRule="atLeast"/>
          <w:jc w:val="center"/>
        </w:trPr>
        <w:tc>
          <w:tcPr>
            <w:tcW w:w="29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预算单位</w:t>
            </w:r>
          </w:p>
        </w:tc>
        <w:tc>
          <w:tcPr>
            <w:tcW w:w="69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巴中市化成水库运行保护中心</w:t>
            </w:r>
          </w:p>
        </w:tc>
      </w:tr>
      <w:tr>
        <w:tblPrEx>
          <w:tblCellMar>
            <w:top w:w="0" w:type="dxa"/>
            <w:left w:w="0" w:type="dxa"/>
            <w:bottom w:w="0" w:type="dxa"/>
            <w:right w:w="0" w:type="dxa"/>
          </w:tblCellMar>
        </w:tblPrEx>
        <w:trPr>
          <w:trHeight w:val="276" w:hRule="atLeast"/>
          <w:jc w:val="center"/>
        </w:trPr>
        <w:tc>
          <w:tcPr>
            <w:tcW w:w="7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预算执行情况(万元)</w:t>
            </w:r>
          </w:p>
        </w:tc>
        <w:tc>
          <w:tcPr>
            <w:tcW w:w="22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预算数:</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11</w:t>
            </w:r>
            <w:r>
              <w:rPr>
                <w:rFonts w:hint="eastAsia" w:ascii="宋体" w:hAnsi="宋体" w:cs="宋体"/>
                <w:color w:val="000000"/>
                <w:kern w:val="0"/>
                <w:sz w:val="24"/>
                <w:lang w:bidi="ar"/>
              </w:rPr>
              <w:t>万元</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r>
              <w:rPr>
                <w:rFonts w:hint="eastAsia" w:ascii="宋体" w:hAnsi="宋体" w:cs="宋体"/>
                <w:color w:val="000000"/>
                <w:kern w:val="0"/>
                <w:sz w:val="24"/>
                <w:lang w:val="en-US" w:eastAsia="zh-CN" w:bidi="ar"/>
              </w:rPr>
              <w:t>1</w:t>
            </w:r>
            <w:r>
              <w:rPr>
                <w:rFonts w:hint="eastAsia" w:ascii="宋体" w:hAnsi="宋体" w:cs="宋体"/>
                <w:color w:val="000000"/>
                <w:kern w:val="0"/>
                <w:sz w:val="24"/>
                <w:lang w:bidi="ar"/>
              </w:rPr>
              <w:t>万元</w:t>
            </w:r>
          </w:p>
        </w:tc>
      </w:tr>
      <w:tr>
        <w:tblPrEx>
          <w:tblCellMar>
            <w:top w:w="0" w:type="dxa"/>
            <w:left w:w="0" w:type="dxa"/>
            <w:bottom w:w="0" w:type="dxa"/>
            <w:right w:w="0" w:type="dxa"/>
          </w:tblCellMar>
        </w:tblPrEx>
        <w:trPr>
          <w:trHeight w:val="276"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2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11</w:t>
            </w:r>
            <w:r>
              <w:rPr>
                <w:rFonts w:hint="eastAsia" w:ascii="宋体" w:hAnsi="宋体" w:cs="宋体"/>
                <w:color w:val="000000"/>
                <w:kern w:val="0"/>
                <w:sz w:val="24"/>
                <w:lang w:bidi="ar"/>
              </w:rPr>
              <w:t>万元</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r>
              <w:rPr>
                <w:rFonts w:hint="eastAsia" w:ascii="宋体" w:hAnsi="宋体" w:cs="宋体"/>
                <w:color w:val="000000"/>
                <w:kern w:val="0"/>
                <w:sz w:val="24"/>
                <w:lang w:val="en-US" w:eastAsia="zh-CN" w:bidi="ar"/>
              </w:rPr>
              <w:t>1</w:t>
            </w:r>
            <w:r>
              <w:rPr>
                <w:rFonts w:hint="eastAsia" w:ascii="宋体" w:hAnsi="宋体" w:cs="宋体"/>
                <w:color w:val="000000"/>
                <w:kern w:val="0"/>
                <w:sz w:val="24"/>
                <w:lang w:bidi="ar"/>
              </w:rPr>
              <w:t>万元</w:t>
            </w:r>
          </w:p>
        </w:tc>
      </w:tr>
      <w:tr>
        <w:tblPrEx>
          <w:tblCellMar>
            <w:top w:w="0" w:type="dxa"/>
            <w:left w:w="0" w:type="dxa"/>
            <w:bottom w:w="0" w:type="dxa"/>
            <w:right w:w="0" w:type="dxa"/>
          </w:tblCellMar>
        </w:tblPrEx>
        <w:trPr>
          <w:trHeight w:val="904"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2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r>
      <w:tr>
        <w:tblPrEx>
          <w:tblCellMar>
            <w:top w:w="0" w:type="dxa"/>
            <w:left w:w="0" w:type="dxa"/>
            <w:bottom w:w="0" w:type="dxa"/>
            <w:right w:w="0" w:type="dxa"/>
          </w:tblCellMar>
        </w:tblPrEx>
        <w:trPr>
          <w:trHeight w:val="276" w:hRule="atLeast"/>
          <w:jc w:val="center"/>
        </w:trPr>
        <w:tc>
          <w:tcPr>
            <w:tcW w:w="7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年度目标完成情况</w:t>
            </w:r>
          </w:p>
        </w:tc>
        <w:tc>
          <w:tcPr>
            <w:tcW w:w="41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预期目标</w:t>
            </w:r>
          </w:p>
        </w:tc>
        <w:tc>
          <w:tcPr>
            <w:tcW w:w="5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841"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41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开展水资源保护宣传，开展取用水管理专项整治行动，加强水资源监督，规范取用水行为管理，放养滤食性鱼苗净化水质，组建警务室，聘请专人对库周及水面垃圾进行日常清理、保洁和水面巡视，及时处置和预防水污染事件，保护水质安全。</w:t>
            </w:r>
          </w:p>
          <w:p>
            <w:pPr>
              <w:widowControl/>
              <w:jc w:val="center"/>
              <w:textAlignment w:val="center"/>
              <w:rPr>
                <w:rFonts w:hint="eastAsia" w:ascii="宋体" w:hAnsi="宋体" w:cs="宋体"/>
                <w:color w:val="000000"/>
                <w:kern w:val="0"/>
                <w:sz w:val="24"/>
                <w:lang w:bidi="ar"/>
              </w:rPr>
            </w:pPr>
          </w:p>
        </w:tc>
        <w:tc>
          <w:tcPr>
            <w:tcW w:w="5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开展水资源保护宣传，开展取用水管理专项整治行动，加强水资源监督，规范取用水行为管理，放养滤食性鱼苗净化水质，组建警务室，聘请专人对库周及水面垃圾进行日常清理、保洁和水面巡视，及时处置和预防水污染事件，保护水质安全。</w:t>
            </w:r>
          </w:p>
          <w:p>
            <w:pPr>
              <w:widowControl/>
              <w:jc w:val="center"/>
              <w:textAlignment w:val="center"/>
              <w:rPr>
                <w:rFonts w:hint="eastAsia" w:ascii="宋体" w:hAnsi="宋体" w:cs="宋体"/>
                <w:color w:val="000000"/>
                <w:kern w:val="0"/>
                <w:sz w:val="24"/>
                <w:lang w:bidi="ar"/>
              </w:rPr>
            </w:pPr>
          </w:p>
        </w:tc>
      </w:tr>
      <w:tr>
        <w:tblPrEx>
          <w:tblCellMar>
            <w:top w:w="0" w:type="dxa"/>
            <w:left w:w="0" w:type="dxa"/>
            <w:bottom w:w="0" w:type="dxa"/>
            <w:right w:w="0" w:type="dxa"/>
          </w:tblCellMar>
        </w:tblPrEx>
        <w:trPr>
          <w:trHeight w:val="1042" w:hRule="atLeast"/>
          <w:jc w:val="center"/>
        </w:trPr>
        <w:tc>
          <w:tcPr>
            <w:tcW w:w="72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绩效指标完成情况</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一级指标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二级指标</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三级指标</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时效指标</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水资源保护宣传活动</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“3.22世界水日”宣传</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中国水周集中宣传一周，开展现场宣传，发放宣传资料</w:t>
            </w:r>
          </w:p>
        </w:tc>
      </w:tr>
      <w:tr>
        <w:tblPrEx>
          <w:tblCellMar>
            <w:top w:w="0" w:type="dxa"/>
            <w:left w:w="0" w:type="dxa"/>
            <w:bottom w:w="0" w:type="dxa"/>
            <w:right w:w="0" w:type="dxa"/>
          </w:tblCellMar>
        </w:tblPrEx>
        <w:trPr>
          <w:trHeight w:val="875"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质量指标</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保证水质</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投放滤食性鱼苗净化水质</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投放滤食性鱼苗净化水质</w:t>
            </w:r>
          </w:p>
        </w:tc>
      </w:tr>
      <w:tr>
        <w:tblPrEx>
          <w:tblCellMar>
            <w:top w:w="0" w:type="dxa"/>
            <w:left w:w="0" w:type="dxa"/>
            <w:bottom w:w="0" w:type="dxa"/>
            <w:right w:w="0" w:type="dxa"/>
          </w:tblCellMar>
        </w:tblPrEx>
        <w:trPr>
          <w:trHeight w:val="564"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hAnsi="宋体" w:cs="宋体"/>
                <w:color w:val="000000"/>
                <w:sz w:val="24"/>
              </w:rPr>
              <w:t>项目完成指标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打捞水面垃圾，库周清洁</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打捞水面垃圾，库周清洁</w:t>
            </w:r>
            <w:r>
              <w:rPr>
                <w:rFonts w:hint="eastAsia" w:ascii="宋体" w:cs="宋体"/>
                <w:color w:val="000000"/>
                <w:sz w:val="24"/>
                <w:lang w:val="en-US" w:eastAsia="zh-CN"/>
              </w:rPr>
              <w:t>3</w:t>
            </w:r>
            <w:r>
              <w:rPr>
                <w:rFonts w:hint="eastAsia" w:ascii="宋体" w:cs="宋体"/>
                <w:color w:val="000000"/>
                <w:sz w:val="24"/>
              </w:rPr>
              <w:t>万元，投放鱼苗</w:t>
            </w:r>
            <w:r>
              <w:rPr>
                <w:rFonts w:hint="eastAsia" w:ascii="宋体" w:cs="宋体"/>
                <w:color w:val="000000"/>
                <w:sz w:val="24"/>
                <w:lang w:val="en-US" w:eastAsia="zh-CN"/>
              </w:rPr>
              <w:t>2</w:t>
            </w:r>
            <w:r>
              <w:rPr>
                <w:rFonts w:hint="eastAsia" w:ascii="宋体" w:cs="宋体"/>
                <w:color w:val="000000"/>
                <w:sz w:val="24"/>
              </w:rPr>
              <w:t>万元，水资源保护宣传2万元，船只日常养护维修费4万元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打捞水面垃圾，库周清洁</w:t>
            </w:r>
            <w:r>
              <w:rPr>
                <w:rFonts w:hint="eastAsia" w:ascii="宋体" w:cs="宋体"/>
                <w:color w:val="000000"/>
                <w:sz w:val="24"/>
                <w:lang w:val="en-US" w:eastAsia="zh-CN"/>
              </w:rPr>
              <w:t>3</w:t>
            </w:r>
            <w:r>
              <w:rPr>
                <w:rFonts w:hint="eastAsia" w:ascii="宋体" w:cs="宋体"/>
                <w:color w:val="000000"/>
                <w:sz w:val="24"/>
              </w:rPr>
              <w:t>万元，投放鱼苗</w:t>
            </w:r>
            <w:r>
              <w:rPr>
                <w:rFonts w:hint="eastAsia" w:ascii="宋体" w:cs="宋体"/>
                <w:color w:val="000000"/>
                <w:sz w:val="24"/>
                <w:lang w:val="en-US" w:eastAsia="zh-CN"/>
              </w:rPr>
              <w:t>2</w:t>
            </w:r>
            <w:r>
              <w:rPr>
                <w:rFonts w:hint="eastAsia" w:ascii="宋体" w:cs="宋体"/>
                <w:color w:val="000000"/>
                <w:sz w:val="24"/>
              </w:rPr>
              <w:t>万元，水资源保护宣传2万元，船只日常养护维修费4万元</w:t>
            </w:r>
          </w:p>
        </w:tc>
      </w:tr>
      <w:tr>
        <w:tblPrEx>
          <w:tblCellMar>
            <w:top w:w="0" w:type="dxa"/>
            <w:left w:w="0" w:type="dxa"/>
            <w:bottom w:w="0" w:type="dxa"/>
            <w:right w:w="0" w:type="dxa"/>
          </w:tblCellMar>
        </w:tblPrEx>
        <w:trPr>
          <w:trHeight w:val="1042"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用水需求</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为经济社会发展提供水资源保障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为经济社会发展提供水资源保障</w:t>
            </w:r>
          </w:p>
        </w:tc>
      </w:tr>
      <w:tr>
        <w:tblPrEx>
          <w:tblCellMar>
            <w:top w:w="0" w:type="dxa"/>
            <w:left w:w="0" w:type="dxa"/>
            <w:bottom w:w="0" w:type="dxa"/>
            <w:right w:w="0" w:type="dxa"/>
          </w:tblCellMar>
        </w:tblPrEx>
        <w:trPr>
          <w:trHeight w:val="938" w:hRule="atLeast"/>
          <w:jc w:val="center"/>
        </w:trPr>
        <w:tc>
          <w:tcPr>
            <w:tcW w:w="72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40" w:firstLineChars="100"/>
              <w:textAlignment w:val="center"/>
              <w:rPr>
                <w:rFonts w:hint="eastAsia" w:ascii="宋体" w:cs="宋体"/>
                <w:color w:val="000000"/>
                <w:kern w:val="0"/>
                <w:sz w:val="24"/>
                <w:lang w:bidi="ar"/>
              </w:rPr>
            </w:pPr>
            <w:r>
              <w:rPr>
                <w:rFonts w:hint="eastAsia" w:ascii="宋体" w:cs="宋体"/>
                <w:color w:val="000000"/>
                <w:kern w:val="0"/>
                <w:sz w:val="24"/>
                <w:lang w:bidi="ar"/>
              </w:rPr>
              <w:t>效益指标</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改善巴城人居环境</w:t>
            </w:r>
          </w:p>
        </w:tc>
        <w:tc>
          <w:tcPr>
            <w:tcW w:w="2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持续改善</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持续改善</w:t>
            </w:r>
          </w:p>
        </w:tc>
      </w:tr>
    </w:tbl>
    <w:p>
      <w:pPr>
        <w:rPr>
          <w:rStyle w:val="27"/>
          <w:rFonts w:ascii="黑体" w:hAnsi="黑体" w:eastAsia="黑体"/>
          <w:b w:val="0"/>
          <w:color w:val="auto"/>
          <w:highlight w:val="none"/>
        </w:rPr>
      </w:pPr>
      <w:bookmarkStart w:id="97" w:name="_Toc15377225"/>
      <w:bookmarkStart w:id="98" w:name="_Toc15396613"/>
      <w:bookmarkStart w:id="99" w:name="_Toc946005999"/>
      <w:bookmarkStart w:id="100" w:name="_Toc787001250"/>
      <w:r>
        <w:rPr>
          <w:rFonts w:hint="eastAsia" w:ascii="黑体" w:hAnsi="黑体" w:eastAsia="黑体"/>
          <w:color w:val="auto"/>
          <w:sz w:val="44"/>
          <w:szCs w:val="44"/>
          <w:highlight w:val="none"/>
        </w:rPr>
        <w:br w:type="page"/>
      </w:r>
    </w:p>
    <w:p>
      <w:pPr>
        <w:numPr>
          <w:ilvl w:val="0"/>
          <w:numId w:val="5"/>
        </w:numPr>
        <w:spacing w:line="600" w:lineRule="exact"/>
        <w:ind w:firstLine="660" w:firstLineChars="150"/>
        <w:jc w:val="center"/>
        <w:outlineLvl w:val="0"/>
        <w:rPr>
          <w:rStyle w:val="27"/>
          <w:rFonts w:ascii="黑体" w:hAnsi="黑体" w:eastAsia="黑体"/>
          <w:b w:val="0"/>
          <w:color w:val="auto"/>
          <w:highlight w:val="none"/>
        </w:rPr>
      </w:pPr>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97"/>
      <w:bookmarkEnd w:id="98"/>
      <w:bookmarkEnd w:id="99"/>
      <w:bookmarkEnd w:id="100"/>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bookmarkStart w:id="101"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Style w:val="17"/>
          <w:rFonts w:hint="eastAsia" w:ascii="仿宋" w:hAnsi="仿宋" w:eastAsia="仿宋"/>
          <w:b w:val="0"/>
          <w:bCs w:val="0"/>
          <w:color w:val="000000"/>
          <w:sz w:val="32"/>
          <w:szCs w:val="32"/>
          <w:lang w:eastAsia="zh-CN"/>
        </w:rPr>
      </w:pPr>
      <w:r>
        <w:rPr>
          <w:rFonts w:ascii="仿宋_GB2312" w:eastAsia="仿宋_GB2312"/>
          <w:color w:val="auto"/>
          <w:sz w:val="32"/>
          <w:szCs w:val="32"/>
          <w:highlight w:val="none"/>
        </w:rPr>
        <w:t>9.</w:t>
      </w:r>
      <w:r>
        <w:rPr>
          <w:rStyle w:val="17"/>
          <w:rFonts w:hint="eastAsia" w:ascii="仿宋" w:hAnsi="仿宋" w:eastAsia="仿宋"/>
          <w:b w:val="0"/>
          <w:bCs w:val="0"/>
          <w:color w:val="000000"/>
          <w:sz w:val="32"/>
          <w:szCs w:val="32"/>
        </w:rPr>
        <w:t>社会保障和就业（类）行政事业单位养老支出（款） 机关事业单位基本养老保险缴费支出（项）</w:t>
      </w:r>
      <w:r>
        <w:rPr>
          <w:rStyle w:val="17"/>
          <w:rFonts w:hint="eastAsia" w:ascii="仿宋" w:hAnsi="仿宋" w:eastAsia="仿宋"/>
          <w:b w:val="0"/>
          <w:bCs w:val="0"/>
          <w:color w:val="000000"/>
          <w:sz w:val="32"/>
          <w:szCs w:val="32"/>
          <w:lang w:eastAsia="zh-CN"/>
        </w:rPr>
        <w:t>是</w:t>
      </w:r>
      <w:r>
        <w:rPr>
          <w:rFonts w:hint="eastAsia" w:ascii="仿宋_GB2312" w:hAnsi="Calibri" w:eastAsia="仿宋_GB2312" w:cs="仿宋"/>
          <w:b w:val="0"/>
          <w:bCs w:val="0"/>
          <w:color w:val="000000"/>
          <w:kern w:val="0"/>
          <w:sz w:val="32"/>
          <w:szCs w:val="32"/>
        </w:rPr>
        <w:t>指单位根据养老保险制度由单位缴纳的基本养老保险支出。</w:t>
      </w:r>
    </w:p>
    <w:p>
      <w:pPr>
        <w:ind w:firstLine="640" w:firstLineChars="200"/>
        <w:rPr>
          <w:rStyle w:val="17"/>
          <w:rFonts w:hint="eastAsia" w:ascii="仿宋" w:hAnsi="仿宋" w:eastAsia="仿宋"/>
          <w:b w:val="0"/>
          <w:bCs w:val="0"/>
          <w:color w:val="auto"/>
          <w:sz w:val="32"/>
          <w:szCs w:val="32"/>
          <w:highlight w:val="none"/>
        </w:rPr>
      </w:pPr>
      <w:r>
        <w:rPr>
          <w:rStyle w:val="17"/>
          <w:rFonts w:hint="eastAsia" w:ascii="仿宋" w:hAnsi="仿宋" w:eastAsia="仿宋"/>
          <w:b w:val="0"/>
          <w:bCs w:val="0"/>
          <w:color w:val="auto"/>
          <w:sz w:val="32"/>
          <w:szCs w:val="32"/>
          <w:highlight w:val="none"/>
          <w:lang w:val="en-US" w:eastAsia="zh-CN"/>
        </w:rPr>
        <w:t>10</w:t>
      </w:r>
      <w:r>
        <w:rPr>
          <w:rStyle w:val="17"/>
          <w:rFonts w:ascii="仿宋" w:hAnsi="仿宋" w:eastAsia="仿宋"/>
          <w:b w:val="0"/>
          <w:bCs w:val="0"/>
          <w:color w:val="auto"/>
          <w:sz w:val="32"/>
          <w:szCs w:val="32"/>
          <w:highlight w:val="none"/>
        </w:rPr>
        <w:t>.</w:t>
      </w:r>
      <w:r>
        <w:rPr>
          <w:rFonts w:hint="eastAsia" w:ascii="仿宋" w:hAnsi="仿宋" w:eastAsia="仿宋"/>
          <w:b w:val="0"/>
          <w:bCs w:val="0"/>
          <w:color w:val="000000"/>
          <w:sz w:val="32"/>
          <w:szCs w:val="32"/>
        </w:rPr>
        <w:t>卫生健康</w:t>
      </w:r>
      <w:r>
        <w:rPr>
          <w:rStyle w:val="17"/>
          <w:rFonts w:hint="eastAsia" w:ascii="仿宋" w:hAnsi="仿宋" w:eastAsia="仿宋"/>
          <w:b w:val="0"/>
          <w:bCs w:val="0"/>
          <w:color w:val="000000"/>
          <w:sz w:val="32"/>
          <w:szCs w:val="32"/>
        </w:rPr>
        <w:t>（类）行政事业单位医疗（款）事业单位医疗、其他行政事业单位医疗支出（项）</w:t>
      </w:r>
      <w:r>
        <w:rPr>
          <w:rStyle w:val="17"/>
          <w:rFonts w:hint="eastAsia" w:ascii="仿宋" w:hAnsi="仿宋" w:eastAsia="仿宋"/>
          <w:b w:val="0"/>
          <w:bCs w:val="0"/>
          <w:color w:val="000000"/>
          <w:sz w:val="32"/>
          <w:szCs w:val="32"/>
          <w:lang w:eastAsia="zh-CN"/>
        </w:rPr>
        <w:t>是指</w:t>
      </w:r>
      <w:r>
        <w:rPr>
          <w:rFonts w:hint="eastAsia" w:ascii="仿宋_GB2312" w:hAnsi="Calibri" w:eastAsia="仿宋_GB2312" w:cs="仿宋"/>
          <w:b w:val="0"/>
          <w:bCs w:val="0"/>
          <w:color w:val="000000"/>
          <w:kern w:val="0"/>
          <w:sz w:val="32"/>
          <w:szCs w:val="32"/>
        </w:rPr>
        <w:t>财政部门安排的事业单位基本医疗保险缴费经费及财政对基本医疗保险的补助支出。</w:t>
      </w:r>
    </w:p>
    <w:p>
      <w:pPr>
        <w:spacing w:line="600" w:lineRule="exact"/>
        <w:ind w:firstLine="640" w:firstLineChars="200"/>
        <w:rPr>
          <w:rStyle w:val="17"/>
          <w:rFonts w:hint="eastAsia" w:ascii="仿宋" w:hAnsi="仿宋" w:eastAsia="仿宋_GB2312"/>
          <w:b w:val="0"/>
          <w:bCs w:val="0"/>
          <w:color w:val="auto"/>
          <w:sz w:val="32"/>
          <w:szCs w:val="32"/>
          <w:highlight w:val="none"/>
          <w:lang w:eastAsia="zh-CN"/>
        </w:rPr>
      </w:pPr>
      <w:r>
        <w:rPr>
          <w:rStyle w:val="17"/>
          <w:rFonts w:hint="eastAsia" w:ascii="仿宋" w:hAnsi="仿宋" w:eastAsia="仿宋"/>
          <w:b w:val="0"/>
          <w:bCs w:val="0"/>
          <w:color w:val="auto"/>
          <w:sz w:val="32"/>
          <w:szCs w:val="32"/>
          <w:highlight w:val="none"/>
          <w:lang w:val="en-US" w:eastAsia="zh-CN"/>
        </w:rPr>
        <w:t>11.</w:t>
      </w:r>
      <w:r>
        <w:rPr>
          <w:rStyle w:val="17"/>
          <w:rFonts w:hint="eastAsia" w:ascii="仿宋" w:hAnsi="仿宋" w:eastAsia="仿宋"/>
          <w:b w:val="0"/>
          <w:bCs w:val="0"/>
          <w:color w:val="000000"/>
          <w:sz w:val="32"/>
          <w:szCs w:val="32"/>
        </w:rPr>
        <w:t>农林水支出（类）水利</w:t>
      </w:r>
      <w:r>
        <w:rPr>
          <w:rStyle w:val="17"/>
          <w:rFonts w:hint="eastAsia" w:ascii="仿宋" w:hAnsi="仿宋" w:eastAsia="仿宋"/>
          <w:b w:val="0"/>
          <w:bCs w:val="0"/>
          <w:color w:val="000000"/>
          <w:sz w:val="32"/>
          <w:szCs w:val="32"/>
          <w:lang w:eastAsia="zh-CN"/>
        </w:rPr>
        <w:t>、其他农林水支出</w:t>
      </w:r>
      <w:r>
        <w:rPr>
          <w:rStyle w:val="17"/>
          <w:rFonts w:hint="eastAsia" w:ascii="仿宋" w:hAnsi="仿宋" w:eastAsia="仿宋"/>
          <w:b w:val="0"/>
          <w:bCs w:val="0"/>
          <w:color w:val="000000"/>
          <w:sz w:val="32"/>
          <w:szCs w:val="32"/>
        </w:rPr>
        <w:t>（款） 水利工程建设、</w:t>
      </w:r>
      <w:r>
        <w:rPr>
          <w:rStyle w:val="17"/>
          <w:rFonts w:hint="eastAsia" w:ascii="仿宋" w:hAnsi="仿宋" w:eastAsia="仿宋"/>
          <w:b w:val="0"/>
          <w:bCs w:val="0"/>
          <w:color w:val="000000"/>
          <w:sz w:val="32"/>
          <w:szCs w:val="32"/>
          <w:lang w:eastAsia="zh-CN"/>
        </w:rPr>
        <w:t>水利工程运行与维护、</w:t>
      </w:r>
      <w:r>
        <w:rPr>
          <w:rStyle w:val="17"/>
          <w:rFonts w:hint="eastAsia" w:ascii="仿宋" w:hAnsi="仿宋" w:eastAsia="仿宋"/>
          <w:b w:val="0"/>
          <w:bCs w:val="0"/>
          <w:color w:val="000000"/>
          <w:sz w:val="32"/>
          <w:szCs w:val="32"/>
        </w:rPr>
        <w:t>其他水利支出</w:t>
      </w:r>
      <w:r>
        <w:rPr>
          <w:rStyle w:val="17"/>
          <w:rFonts w:hint="eastAsia" w:ascii="仿宋" w:hAnsi="仿宋" w:eastAsia="仿宋"/>
          <w:b w:val="0"/>
          <w:bCs w:val="0"/>
          <w:color w:val="000000"/>
          <w:sz w:val="32"/>
          <w:szCs w:val="32"/>
          <w:lang w:eastAsia="zh-CN"/>
        </w:rPr>
        <w:t>、其他农林水支出</w:t>
      </w:r>
      <w:r>
        <w:rPr>
          <w:rStyle w:val="17"/>
          <w:rFonts w:hint="eastAsia" w:ascii="仿宋" w:hAnsi="仿宋" w:eastAsia="仿宋"/>
          <w:b w:val="0"/>
          <w:bCs w:val="0"/>
          <w:color w:val="000000"/>
          <w:sz w:val="32"/>
          <w:szCs w:val="32"/>
        </w:rPr>
        <w:t>（项）</w:t>
      </w:r>
      <w:r>
        <w:rPr>
          <w:rStyle w:val="17"/>
          <w:rFonts w:hint="eastAsia" w:ascii="仿宋" w:hAnsi="仿宋" w:eastAsia="仿宋"/>
          <w:b w:val="0"/>
          <w:bCs w:val="0"/>
          <w:color w:val="000000"/>
          <w:sz w:val="32"/>
          <w:szCs w:val="32"/>
          <w:lang w:eastAsia="zh-CN"/>
        </w:rPr>
        <w:t>是</w:t>
      </w:r>
      <w:r>
        <w:rPr>
          <w:rFonts w:hint="eastAsia" w:ascii="仿宋_GB2312" w:hAnsi="Calibri" w:eastAsia="仿宋_GB2312" w:cs="仿宋"/>
          <w:b w:val="0"/>
          <w:bCs w:val="0"/>
          <w:color w:val="000000"/>
          <w:kern w:val="0"/>
          <w:sz w:val="32"/>
          <w:szCs w:val="32"/>
        </w:rPr>
        <w:t>指用于水利行业业务管理方面的支出，水利系统用于江、河、湖、滩等水利工程建设</w:t>
      </w:r>
      <w:r>
        <w:rPr>
          <w:rFonts w:hint="eastAsia" w:ascii="仿宋_GB2312" w:hAnsi="Calibri" w:eastAsia="仿宋_GB2312" w:cs="仿宋"/>
          <w:b w:val="0"/>
          <w:bCs w:val="0"/>
          <w:color w:val="000000"/>
          <w:kern w:val="0"/>
          <w:sz w:val="32"/>
          <w:szCs w:val="32"/>
          <w:lang w:eastAsia="zh-CN"/>
        </w:rPr>
        <w:t>以及工程运行与维护方面、</w:t>
      </w:r>
      <w:r>
        <w:rPr>
          <w:rFonts w:hint="eastAsia" w:ascii="仿宋_GB2312" w:hAnsi="Calibri" w:eastAsia="仿宋_GB2312" w:cs="仿宋"/>
          <w:b w:val="0"/>
          <w:bCs w:val="0"/>
          <w:color w:val="000000"/>
          <w:kern w:val="0"/>
          <w:sz w:val="32"/>
          <w:szCs w:val="32"/>
        </w:rPr>
        <w:t>其他用于</w:t>
      </w:r>
      <w:r>
        <w:rPr>
          <w:rFonts w:hint="eastAsia" w:ascii="仿宋_GB2312" w:hAnsi="Calibri" w:eastAsia="仿宋_GB2312" w:cs="仿宋"/>
          <w:b w:val="0"/>
          <w:bCs w:val="0"/>
          <w:color w:val="000000"/>
          <w:kern w:val="0"/>
          <w:sz w:val="32"/>
          <w:szCs w:val="32"/>
          <w:lang w:eastAsia="zh-CN"/>
        </w:rPr>
        <w:t>农林水</w:t>
      </w:r>
      <w:r>
        <w:rPr>
          <w:rFonts w:hint="eastAsia" w:ascii="仿宋_GB2312" w:hAnsi="Calibri" w:eastAsia="仿宋_GB2312" w:cs="仿宋"/>
          <w:b w:val="0"/>
          <w:bCs w:val="0"/>
          <w:color w:val="000000"/>
          <w:kern w:val="0"/>
          <w:sz w:val="32"/>
          <w:szCs w:val="32"/>
        </w:rPr>
        <w:t>方面的支出</w:t>
      </w:r>
      <w:r>
        <w:rPr>
          <w:rFonts w:hint="eastAsia" w:ascii="仿宋_GB2312" w:hAnsi="Calibri" w:eastAsia="仿宋_GB2312" w:cs="仿宋"/>
          <w:b w:val="0"/>
          <w:bCs w:val="0"/>
          <w:color w:val="000000"/>
          <w:kern w:val="0"/>
          <w:sz w:val="32"/>
          <w:szCs w:val="32"/>
          <w:lang w:eastAsia="zh-CN"/>
        </w:rPr>
        <w:t>。</w:t>
      </w:r>
    </w:p>
    <w:p>
      <w:pPr>
        <w:ind w:firstLine="640"/>
        <w:rPr>
          <w:rStyle w:val="17"/>
          <w:rFonts w:hint="eastAsia" w:ascii="仿宋" w:hAnsi="仿宋" w:eastAsia="仿宋"/>
          <w:b w:val="0"/>
          <w:bCs w:val="0"/>
          <w:color w:val="000000"/>
          <w:sz w:val="32"/>
          <w:szCs w:val="32"/>
          <w:lang w:val="en-US" w:eastAsia="zh-CN"/>
        </w:rPr>
      </w:pPr>
      <w:r>
        <w:rPr>
          <w:rFonts w:hint="eastAsia"/>
          <w:b w:val="0"/>
          <w:bCs w:val="0"/>
          <w:sz w:val="32"/>
          <w:szCs w:val="32"/>
          <w:lang w:val="en-US" w:eastAsia="zh-CN"/>
        </w:rPr>
        <w:t>12.</w:t>
      </w:r>
      <w:r>
        <w:rPr>
          <w:rStyle w:val="17"/>
          <w:rFonts w:hint="eastAsia" w:ascii="仿宋" w:hAnsi="仿宋" w:eastAsia="仿宋"/>
          <w:b w:val="0"/>
          <w:bCs w:val="0"/>
          <w:color w:val="000000"/>
          <w:sz w:val="32"/>
          <w:szCs w:val="32"/>
          <w:lang w:val="en-US" w:eastAsia="zh-CN"/>
        </w:rPr>
        <w:t>住房保障支出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eastAsia="zh-CN"/>
        </w:rPr>
        <w:t>住房改革支出（款）住房公积金（项）是行政事业单位按人力资源和社会保障部、财政部规定的基本工资和津补贴以及规定比例为职工缴纳的住房公积金。</w:t>
      </w:r>
    </w:p>
    <w:p>
      <w:pPr>
        <w:ind w:firstLine="0" w:firstLineChars="0"/>
        <w:rPr>
          <w:rStyle w:val="17"/>
          <w:rFonts w:hint="eastAsia" w:ascii="仿宋" w:hAnsi="仿宋" w:eastAsia="仿宋_GB2312"/>
          <w:b w:val="0"/>
          <w:bCs w:val="0"/>
          <w:color w:val="000000"/>
          <w:sz w:val="32"/>
          <w:szCs w:val="32"/>
          <w:lang w:val="en-US" w:eastAsia="zh-CN"/>
        </w:rPr>
      </w:pPr>
      <w:r>
        <w:rPr>
          <w:rStyle w:val="17"/>
          <w:rFonts w:hint="eastAsia" w:ascii="仿宋" w:hAnsi="仿宋" w:eastAsia="仿宋" w:cs="Times New Roman"/>
          <w:b w:val="0"/>
          <w:bCs w:val="0"/>
          <w:color w:val="auto"/>
          <w:kern w:val="2"/>
          <w:sz w:val="32"/>
          <w:szCs w:val="32"/>
          <w:highlight w:val="none"/>
          <w:lang w:val="en-US" w:eastAsia="zh-CN" w:bidi="ar-SA"/>
        </w:rPr>
        <w:t xml:space="preserve">   </w:t>
      </w:r>
      <w:r>
        <w:rPr>
          <w:rFonts w:hint="eastAsia" w:ascii="仿宋" w:hAnsi="仿宋" w:eastAsia="仿宋"/>
          <w:b w:val="0"/>
          <w:bCs w:val="0"/>
          <w:color w:val="000000"/>
          <w:sz w:val="32"/>
          <w:szCs w:val="32"/>
          <w:lang w:val="en-US" w:eastAsia="zh-CN"/>
        </w:rPr>
        <w:t>13.其他</w:t>
      </w:r>
      <w:r>
        <w:rPr>
          <w:rFonts w:hint="eastAsia" w:ascii="仿宋" w:hAnsi="仿宋" w:eastAsia="仿宋"/>
          <w:b w:val="0"/>
          <w:bCs w:val="0"/>
          <w:color w:val="000000"/>
          <w:sz w:val="32"/>
          <w:szCs w:val="32"/>
        </w:rPr>
        <w:t>支出（类）其他支出（款）其他支出（项）</w:t>
      </w:r>
      <w:r>
        <w:rPr>
          <w:rStyle w:val="17"/>
          <w:rFonts w:hint="eastAsia" w:ascii="仿宋" w:hAnsi="仿宋" w:eastAsia="仿宋"/>
          <w:b w:val="0"/>
          <w:bCs w:val="0"/>
          <w:color w:val="000000"/>
          <w:sz w:val="32"/>
          <w:szCs w:val="32"/>
          <w:lang w:eastAsia="zh-CN"/>
        </w:rPr>
        <w:t>是指</w:t>
      </w:r>
      <w:r>
        <w:rPr>
          <w:rFonts w:hint="eastAsia" w:ascii="仿宋_GB2312" w:hAnsi="Calibri" w:eastAsia="仿宋_GB2312" w:cs="仿宋"/>
          <w:b w:val="0"/>
          <w:bCs w:val="0"/>
          <w:color w:val="000000"/>
          <w:kern w:val="0"/>
          <w:sz w:val="32"/>
          <w:szCs w:val="32"/>
        </w:rPr>
        <w:t>上述项目外，其他不能划分具体功能科目的支出</w:t>
      </w:r>
      <w:r>
        <w:rPr>
          <w:rFonts w:hint="eastAsia" w:ascii="仿宋_GB2312" w:hAnsi="Calibri" w:eastAsia="仿宋_GB2312" w:cs="仿宋"/>
          <w:b w:val="0"/>
          <w:bCs w:val="0"/>
          <w:color w:val="000000"/>
          <w:kern w:val="0"/>
          <w:sz w:val="32"/>
          <w:szCs w:val="32"/>
          <w:lang w:eastAsia="zh-CN"/>
        </w:rPr>
        <w:t>。</w:t>
      </w:r>
    </w:p>
    <w:p>
      <w:pPr>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14</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15</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项目支出：指在基本支出之外为完成特定行政任务和事业发展目标所发生的支出。</w:t>
      </w:r>
      <w:r>
        <w:rPr>
          <w:rFonts w:ascii="仿宋_GB2312" w:eastAsia="仿宋_GB2312"/>
          <w:b w:val="0"/>
          <w:bCs w:val="0"/>
          <w:color w:val="auto"/>
          <w:sz w:val="32"/>
          <w:szCs w:val="32"/>
          <w:highlight w:val="none"/>
        </w:rPr>
        <w:t xml:space="preserve"> </w:t>
      </w:r>
    </w:p>
    <w:p>
      <w:pPr>
        <w:ind w:firstLine="640" w:firstLineChars="200"/>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16</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b w:val="0"/>
          <w:bCs w:val="0"/>
          <w:color w:val="auto"/>
          <w:sz w:val="32"/>
          <w:szCs w:val="32"/>
          <w:highlight w:val="none"/>
          <w:lang w:val="en-US" w:eastAsia="zh-CN"/>
        </w:rPr>
        <w:t>17</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“三公”经费：指</w:t>
      </w:r>
      <w:r>
        <w:rPr>
          <w:rFonts w:hint="eastAsia" w:ascii="仿宋_GB2312" w:eastAsia="仿宋_GB2312"/>
          <w:b w:val="0"/>
          <w:bCs w:val="0"/>
          <w:color w:val="auto"/>
          <w:sz w:val="32"/>
          <w:szCs w:val="32"/>
          <w:highlight w:val="none"/>
          <w:lang w:eastAsia="zh-CN"/>
        </w:rPr>
        <w:t>单位</w:t>
      </w:r>
      <w:r>
        <w:rPr>
          <w:rFonts w:hint="eastAsia" w:ascii="仿宋_GB2312" w:eastAsia="仿宋_GB2312"/>
          <w:b w:val="0"/>
          <w:bCs w:val="0"/>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w:t>
      </w:r>
      <w:r>
        <w:rPr>
          <w:rFonts w:hint="eastAsia" w:ascii="仿宋_GB2312" w:eastAsia="仿宋_GB2312"/>
          <w:color w:val="auto"/>
          <w:sz w:val="32"/>
          <w:szCs w:val="32"/>
          <w:highlight w:val="none"/>
        </w:rPr>
        <w:t>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883" w:firstLineChars="200"/>
        <w:jc w:val="center"/>
        <w:rPr>
          <w:rStyle w:val="27"/>
          <w:rFonts w:ascii="黑体" w:hAnsi="黑体" w:eastAsia="黑体"/>
          <w:b w:val="0"/>
          <w:color w:val="auto"/>
          <w:highlight w:val="none"/>
        </w:rPr>
      </w:pPr>
      <w:r>
        <w:rPr>
          <w:rFonts w:ascii="宋体"/>
          <w:b/>
          <w:color w:val="auto"/>
          <w:sz w:val="44"/>
          <w:szCs w:val="44"/>
          <w:highlight w:val="none"/>
        </w:rPr>
        <w:br w:type="page"/>
      </w:r>
      <w:bookmarkStart w:id="102" w:name="_Toc15396614"/>
      <w:bookmarkStart w:id="103" w:name="_Toc1232821082"/>
      <w:bookmarkStart w:id="104" w:name="_Toc598693227"/>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102"/>
      <w:bookmarkEnd w:id="103"/>
      <w:bookmarkEnd w:id="104"/>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105"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巴中市化成水库</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运行保护中心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实施左右干渠水毁修复，片石挡墙工程</w:t>
            </w:r>
            <w:r>
              <w:rPr>
                <w:rFonts w:hint="eastAsia" w:ascii="宋体" w:hAnsi="宋体" w:cs="宋体"/>
                <w:i w:val="0"/>
                <w:color w:val="auto"/>
                <w:sz w:val="24"/>
                <w:szCs w:val="24"/>
                <w:u w:val="none"/>
                <w:lang w:val="en-US" w:eastAsia="zh-CN"/>
              </w:rPr>
              <w:t>30米，</w:t>
            </w:r>
            <w:r>
              <w:rPr>
                <w:rFonts w:hint="eastAsia" w:ascii="宋体" w:hAnsi="宋体" w:cs="宋体"/>
                <w:i w:val="0"/>
                <w:color w:val="auto"/>
                <w:sz w:val="24"/>
                <w:szCs w:val="24"/>
                <w:u w:val="none"/>
                <w:lang w:eastAsia="zh-CN"/>
              </w:rPr>
              <w:t>左干渠整治</w:t>
            </w:r>
            <w:r>
              <w:rPr>
                <w:rFonts w:hint="eastAsia" w:ascii="宋体" w:hAnsi="宋体" w:cs="宋体"/>
                <w:i w:val="0"/>
                <w:color w:val="auto"/>
                <w:sz w:val="24"/>
                <w:szCs w:val="24"/>
                <w:u w:val="none"/>
                <w:lang w:val="en-US" w:eastAsia="zh-CN"/>
              </w:rPr>
              <w:t>105米，右干渠整治652米等</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实施左右干渠水毁修复，片石挡墙工程</w:t>
            </w:r>
            <w:r>
              <w:rPr>
                <w:rFonts w:hint="eastAsia" w:ascii="宋体" w:hAnsi="宋体" w:cs="宋体"/>
                <w:i w:val="0"/>
                <w:color w:val="auto"/>
                <w:sz w:val="24"/>
                <w:szCs w:val="24"/>
                <w:u w:val="none"/>
                <w:lang w:val="en-US" w:eastAsia="zh-CN"/>
              </w:rPr>
              <w:t>30米，</w:t>
            </w:r>
            <w:r>
              <w:rPr>
                <w:rFonts w:hint="eastAsia" w:ascii="宋体" w:hAnsi="宋体" w:cs="宋体"/>
                <w:i w:val="0"/>
                <w:color w:val="auto"/>
                <w:sz w:val="24"/>
                <w:szCs w:val="24"/>
                <w:u w:val="none"/>
                <w:lang w:eastAsia="zh-CN"/>
              </w:rPr>
              <w:t>左干渠整治</w:t>
            </w:r>
            <w:r>
              <w:rPr>
                <w:rFonts w:hint="eastAsia" w:ascii="宋体" w:hAnsi="宋体" w:cs="宋体"/>
                <w:i w:val="0"/>
                <w:color w:val="auto"/>
                <w:sz w:val="24"/>
                <w:szCs w:val="24"/>
                <w:u w:val="none"/>
                <w:lang w:val="en-US" w:eastAsia="zh-CN"/>
              </w:rPr>
              <w:t>105米，右干渠整治652米，青石栏杆48米等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整治左右干渠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757米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eastAsia="zh-CN"/>
              </w:rPr>
              <w:t>完成左右干渠整治</w:t>
            </w:r>
            <w:r>
              <w:rPr>
                <w:rFonts w:hint="eastAsia" w:ascii="仿宋_GB2312" w:hAnsi="仿宋_GB2312" w:eastAsia="仿宋_GB2312" w:cs="仿宋_GB2312"/>
                <w:i w:val="0"/>
                <w:color w:val="auto"/>
                <w:sz w:val="24"/>
                <w:szCs w:val="24"/>
                <w:u w:val="none"/>
                <w:lang w:val="en-US" w:eastAsia="zh-CN"/>
              </w:rPr>
              <w:t>757米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符合设计规范、合格率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eastAsia="zh-CN"/>
              </w:rPr>
              <w:t>》</w:t>
            </w:r>
            <w:r>
              <w:rPr>
                <w:rFonts w:hint="eastAsia" w:ascii="仿宋_GB2312" w:hAnsi="仿宋_GB2312" w:eastAsia="仿宋_GB2312" w:cs="仿宋_GB2312"/>
                <w:i w:val="0"/>
                <w:color w:val="auto"/>
                <w:sz w:val="24"/>
                <w:szCs w:val="24"/>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sz w:val="24"/>
                <w:szCs w:val="24"/>
                <w:u w:val="none"/>
                <w:lang w:eastAsia="zh-CN"/>
              </w:rPr>
              <w:t>符合设计规范，合格率》</w:t>
            </w:r>
            <w:r>
              <w:rPr>
                <w:rFonts w:hint="eastAsia" w:ascii="仿宋_GB2312" w:hAnsi="仿宋_GB2312" w:eastAsia="仿宋_GB2312" w:cs="仿宋_GB2312"/>
                <w:i w:val="0"/>
                <w:color w:val="auto"/>
                <w:sz w:val="24"/>
                <w:szCs w:val="24"/>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left"/>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生态环境影响生态效益发挥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eastAsia="zh-CN"/>
              </w:rPr>
              <w:t>》</w:t>
            </w:r>
            <w:r>
              <w:rPr>
                <w:rFonts w:hint="eastAsia" w:ascii="仿宋_GB2312" w:hAnsi="仿宋_GB2312" w:eastAsia="仿宋_GB2312" w:cs="仿宋_GB2312"/>
                <w:i w:val="0"/>
                <w:color w:val="auto"/>
                <w:sz w:val="24"/>
                <w:szCs w:val="24"/>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受益群众满意度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eastAsia="zh-CN"/>
              </w:rPr>
              <w:t>＞</w:t>
            </w:r>
            <w:r>
              <w:rPr>
                <w:rFonts w:hint="eastAsia" w:ascii="仿宋_GB2312" w:hAnsi="仿宋_GB2312" w:eastAsia="仿宋_GB2312" w:cs="仿宋_GB2312"/>
                <w:i w:val="0"/>
                <w:color w:val="auto"/>
                <w:sz w:val="24"/>
                <w:szCs w:val="24"/>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eastAsia="zh-CN"/>
              </w:rPr>
              <w:t>》</w:t>
            </w:r>
            <w:r>
              <w:rPr>
                <w:rFonts w:hint="eastAsia" w:ascii="仿宋_GB2312" w:hAnsi="仿宋_GB2312" w:eastAsia="仿宋_GB2312" w:cs="仿宋_GB2312"/>
                <w:i w:val="0"/>
                <w:color w:val="auto"/>
                <w:sz w:val="24"/>
                <w:szCs w:val="24"/>
                <w:u w:val="none"/>
                <w:lang w:val="en-US" w:eastAsia="zh-CN"/>
              </w:rPr>
              <w:t>95%</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jc w:val="center"/>
        <w:rPr>
          <w:rFonts w:hint="eastAsia" w:ascii="仿宋" w:hAnsi="仿宋" w:eastAsia="仿宋"/>
          <w:b w:val="0"/>
          <w:color w:val="auto"/>
          <w:highlight w:val="none"/>
        </w:rPr>
      </w:pPr>
      <w:bookmarkStart w:id="106" w:name="_Toc1748182996"/>
      <w:bookmarkStart w:id="107" w:name="_Toc292117525"/>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101"/>
      <w:bookmarkEnd w:id="105"/>
      <w:bookmarkEnd w:id="106"/>
      <w:bookmarkEnd w:id="107"/>
      <w:bookmarkStart w:id="108" w:name="_Toc15396619"/>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09" w:name="_Toc829269454"/>
      <w:bookmarkStart w:id="110" w:name="_Toc2020924656"/>
      <w:r>
        <w:rPr>
          <w:rFonts w:hint="eastAsia" w:ascii="仿宋" w:hAnsi="仿宋" w:eastAsia="仿宋"/>
          <w:b w:val="0"/>
          <w:color w:val="auto"/>
          <w:sz w:val="32"/>
          <w:szCs w:val="32"/>
          <w:highlight w:val="none"/>
        </w:rPr>
        <w:t>一、收</w:t>
      </w:r>
      <w:r>
        <w:rPr>
          <w:rStyle w:val="28"/>
          <w:rFonts w:hint="eastAsia" w:ascii="仿宋" w:hAnsi="仿宋" w:eastAsia="仿宋"/>
          <w:b w:val="0"/>
          <w:bCs w:val="0"/>
          <w:color w:val="auto"/>
          <w:sz w:val="32"/>
          <w:szCs w:val="32"/>
          <w:highlight w:val="none"/>
        </w:rPr>
        <w:t>入支出决算总表</w:t>
      </w:r>
      <w:bookmarkEnd w:id="108"/>
      <w:bookmarkEnd w:id="109"/>
      <w:bookmarkEnd w:id="110"/>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11" w:name="_Toc1454906862"/>
      <w:bookmarkStart w:id="112" w:name="_Toc15396620"/>
      <w:bookmarkStart w:id="113" w:name="_Toc666260311"/>
      <w:r>
        <w:rPr>
          <w:rFonts w:hint="eastAsia" w:ascii="仿宋" w:hAnsi="仿宋" w:eastAsia="仿宋"/>
          <w:b w:val="0"/>
          <w:color w:val="auto"/>
          <w:sz w:val="32"/>
          <w:szCs w:val="32"/>
          <w:highlight w:val="none"/>
        </w:rPr>
        <w:t>二、收</w:t>
      </w:r>
      <w:r>
        <w:rPr>
          <w:rStyle w:val="28"/>
          <w:rFonts w:hint="eastAsia" w:ascii="仿宋" w:hAnsi="仿宋" w:eastAsia="仿宋"/>
          <w:b w:val="0"/>
          <w:bCs w:val="0"/>
          <w:color w:val="auto"/>
          <w:sz w:val="32"/>
          <w:szCs w:val="32"/>
          <w:highlight w:val="none"/>
        </w:rPr>
        <w:t>入决算表</w:t>
      </w:r>
      <w:bookmarkEnd w:id="111"/>
      <w:bookmarkEnd w:id="112"/>
      <w:bookmarkEnd w:id="113"/>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14" w:name="_Toc1233681845"/>
      <w:bookmarkStart w:id="115" w:name="_Toc1942114149"/>
      <w:bookmarkStart w:id="116" w:name="_Toc15396621"/>
      <w:r>
        <w:rPr>
          <w:rStyle w:val="28"/>
          <w:rFonts w:hint="eastAsia" w:ascii="仿宋" w:hAnsi="仿宋" w:eastAsia="仿宋"/>
          <w:b w:val="0"/>
          <w:bCs w:val="0"/>
          <w:color w:val="auto"/>
          <w:sz w:val="32"/>
          <w:szCs w:val="32"/>
          <w:highlight w:val="none"/>
        </w:rPr>
        <w:t>三、</w:t>
      </w:r>
      <w:r>
        <w:rPr>
          <w:rFonts w:hint="eastAsia" w:ascii="仿宋" w:hAnsi="仿宋" w:eastAsia="仿宋"/>
          <w:b w:val="0"/>
          <w:color w:val="auto"/>
          <w:sz w:val="32"/>
          <w:szCs w:val="32"/>
          <w:highlight w:val="none"/>
        </w:rPr>
        <w:t>支</w:t>
      </w:r>
      <w:r>
        <w:rPr>
          <w:rStyle w:val="28"/>
          <w:rFonts w:hint="eastAsia" w:ascii="仿宋" w:hAnsi="仿宋" w:eastAsia="仿宋"/>
          <w:b w:val="0"/>
          <w:bCs w:val="0"/>
          <w:color w:val="auto"/>
          <w:sz w:val="32"/>
          <w:szCs w:val="32"/>
          <w:highlight w:val="none"/>
        </w:rPr>
        <w:t>出决算表</w:t>
      </w:r>
      <w:bookmarkEnd w:id="114"/>
      <w:bookmarkEnd w:id="115"/>
      <w:bookmarkEnd w:id="116"/>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b w:val="0"/>
          <w:color w:val="auto"/>
          <w:sz w:val="32"/>
          <w:szCs w:val="32"/>
          <w:highlight w:val="none"/>
        </w:rPr>
      </w:pPr>
      <w:bookmarkStart w:id="117" w:name="_Toc15396622"/>
      <w:bookmarkStart w:id="118" w:name="_Toc1255908669"/>
      <w:bookmarkStart w:id="119" w:name="_Toc385641708"/>
      <w:r>
        <w:rPr>
          <w:rStyle w:val="28"/>
          <w:rFonts w:hint="eastAsia" w:ascii="仿宋" w:hAnsi="仿宋" w:eastAsia="仿宋"/>
          <w:b w:val="0"/>
          <w:bCs w:val="0"/>
          <w:color w:val="auto"/>
          <w:sz w:val="32"/>
          <w:szCs w:val="32"/>
          <w:highlight w:val="none"/>
        </w:rPr>
        <w:t>四、</w:t>
      </w:r>
      <w:r>
        <w:rPr>
          <w:rFonts w:hint="eastAsia" w:ascii="仿宋" w:hAnsi="仿宋" w:eastAsia="仿宋"/>
          <w:b w:val="0"/>
          <w:color w:val="auto"/>
          <w:sz w:val="32"/>
          <w:szCs w:val="32"/>
          <w:highlight w:val="none"/>
        </w:rPr>
        <w:t>财</w:t>
      </w:r>
      <w:r>
        <w:rPr>
          <w:rStyle w:val="28"/>
          <w:rFonts w:hint="eastAsia" w:ascii="仿宋" w:hAnsi="仿宋" w:eastAsia="仿宋"/>
          <w:b w:val="0"/>
          <w:bCs w:val="0"/>
          <w:color w:val="auto"/>
          <w:sz w:val="32"/>
          <w:szCs w:val="32"/>
          <w:highlight w:val="none"/>
        </w:rPr>
        <w:t>政拨款收入支出决算总表</w:t>
      </w:r>
      <w:bookmarkEnd w:id="117"/>
      <w:bookmarkEnd w:id="118"/>
      <w:bookmarkEnd w:id="119"/>
    </w:p>
    <w:p>
      <w:pPr>
        <w:pStyle w:val="4"/>
        <w:pageBreakBefore w:val="0"/>
        <w:widowControl w:val="0"/>
        <w:kinsoku/>
        <w:wordWrap/>
        <w:overflowPunct/>
        <w:topLinePunct w:val="0"/>
        <w:autoSpaceDE/>
        <w:autoSpaceDN/>
        <w:bidi w:val="0"/>
        <w:adjustRightInd/>
        <w:snapToGrid/>
        <w:spacing w:line="520" w:lineRule="exact"/>
        <w:textAlignment w:val="auto"/>
        <w:rPr>
          <w:rStyle w:val="28"/>
          <w:rFonts w:ascii="仿宋" w:hAnsi="仿宋" w:eastAsia="仿宋"/>
          <w:b w:val="0"/>
          <w:bCs w:val="0"/>
          <w:color w:val="auto"/>
          <w:sz w:val="32"/>
          <w:szCs w:val="32"/>
          <w:highlight w:val="none"/>
        </w:rPr>
      </w:pPr>
      <w:bookmarkStart w:id="120" w:name="_Toc15396623"/>
      <w:bookmarkStart w:id="121" w:name="_Toc70699928"/>
      <w:bookmarkStart w:id="122" w:name="_Toc231729925"/>
      <w:r>
        <w:rPr>
          <w:rStyle w:val="28"/>
          <w:rFonts w:hint="eastAsia" w:ascii="仿宋" w:hAnsi="仿宋" w:eastAsia="仿宋"/>
          <w:b w:val="0"/>
          <w:bCs w:val="0"/>
          <w:color w:val="auto"/>
          <w:sz w:val="32"/>
          <w:szCs w:val="32"/>
          <w:highlight w:val="none"/>
        </w:rPr>
        <w:t>五、</w:t>
      </w:r>
      <w:r>
        <w:rPr>
          <w:rFonts w:hint="eastAsia" w:ascii="仿宋" w:hAnsi="仿宋" w:eastAsia="仿宋"/>
          <w:b w:val="0"/>
          <w:color w:val="auto"/>
          <w:sz w:val="32"/>
          <w:szCs w:val="32"/>
          <w:highlight w:val="none"/>
        </w:rPr>
        <w:t>财</w:t>
      </w:r>
      <w:r>
        <w:rPr>
          <w:rStyle w:val="28"/>
          <w:rFonts w:hint="eastAsia" w:ascii="仿宋" w:hAnsi="仿宋" w:eastAsia="仿宋"/>
          <w:b w:val="0"/>
          <w:bCs w:val="0"/>
          <w:color w:val="auto"/>
          <w:sz w:val="32"/>
          <w:szCs w:val="32"/>
          <w:highlight w:val="none"/>
        </w:rPr>
        <w:t>政拨款支出决算明细表</w:t>
      </w:r>
      <w:bookmarkEnd w:id="120"/>
      <w:bookmarkEnd w:id="121"/>
      <w:bookmarkEnd w:id="122"/>
      <w:bookmarkStart w:id="123" w:name="_Toc15396624"/>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24" w:name="_Toc1410420477"/>
      <w:bookmarkStart w:id="125" w:name="_Toc475646591"/>
      <w:r>
        <w:rPr>
          <w:rStyle w:val="28"/>
          <w:rFonts w:hint="eastAsia" w:ascii="仿宋" w:hAnsi="仿宋" w:eastAsia="仿宋"/>
          <w:b w:val="0"/>
          <w:bCs w:val="0"/>
          <w:color w:val="auto"/>
          <w:sz w:val="32"/>
          <w:szCs w:val="32"/>
          <w:highlight w:val="none"/>
        </w:rPr>
        <w:t>六、</w:t>
      </w:r>
      <w:r>
        <w:rPr>
          <w:rFonts w:hint="eastAsia" w:ascii="仿宋" w:hAnsi="仿宋" w:eastAsia="仿宋"/>
          <w:b w:val="0"/>
          <w:color w:val="auto"/>
          <w:sz w:val="32"/>
          <w:szCs w:val="32"/>
          <w:highlight w:val="none"/>
        </w:rPr>
        <w:t>一</w:t>
      </w:r>
      <w:r>
        <w:rPr>
          <w:rStyle w:val="28"/>
          <w:rFonts w:hint="eastAsia" w:ascii="仿宋" w:hAnsi="仿宋" w:eastAsia="仿宋"/>
          <w:b w:val="0"/>
          <w:bCs w:val="0"/>
          <w:color w:val="auto"/>
          <w:sz w:val="32"/>
          <w:szCs w:val="32"/>
          <w:highlight w:val="none"/>
        </w:rPr>
        <w:t>般公共预算财政拨款支出决算表</w:t>
      </w:r>
      <w:bookmarkEnd w:id="123"/>
      <w:bookmarkEnd w:id="124"/>
      <w:bookmarkEnd w:id="125"/>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26" w:name="_Toc1135184685"/>
      <w:bookmarkStart w:id="127" w:name="_Toc2054955600"/>
      <w:bookmarkStart w:id="128" w:name="_Toc15396625"/>
      <w:r>
        <w:rPr>
          <w:rStyle w:val="28"/>
          <w:rFonts w:hint="eastAsia" w:ascii="仿宋" w:hAnsi="仿宋" w:eastAsia="仿宋"/>
          <w:b w:val="0"/>
          <w:bCs w:val="0"/>
          <w:color w:val="auto"/>
          <w:sz w:val="32"/>
          <w:szCs w:val="32"/>
          <w:highlight w:val="none"/>
        </w:rPr>
        <w:t>七、</w:t>
      </w:r>
      <w:r>
        <w:rPr>
          <w:rFonts w:hint="eastAsia" w:ascii="仿宋" w:hAnsi="仿宋" w:eastAsia="仿宋"/>
          <w:b w:val="0"/>
          <w:color w:val="auto"/>
          <w:sz w:val="32"/>
          <w:szCs w:val="32"/>
          <w:highlight w:val="none"/>
        </w:rPr>
        <w:t>一</w:t>
      </w:r>
      <w:r>
        <w:rPr>
          <w:rStyle w:val="28"/>
          <w:rFonts w:hint="eastAsia" w:ascii="仿宋" w:hAnsi="仿宋" w:eastAsia="仿宋"/>
          <w:b w:val="0"/>
          <w:bCs w:val="0"/>
          <w:color w:val="auto"/>
          <w:sz w:val="32"/>
          <w:szCs w:val="32"/>
          <w:highlight w:val="none"/>
        </w:rPr>
        <w:t>般公共预算财政拨款支出决算明细表</w:t>
      </w:r>
      <w:bookmarkEnd w:id="126"/>
      <w:bookmarkEnd w:id="127"/>
      <w:bookmarkEnd w:id="128"/>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29" w:name="_Toc1976712643"/>
      <w:bookmarkStart w:id="130" w:name="_Toc15396626"/>
      <w:bookmarkStart w:id="131" w:name="_Toc135307477"/>
      <w:r>
        <w:rPr>
          <w:rStyle w:val="28"/>
          <w:rFonts w:hint="eastAsia" w:ascii="仿宋" w:hAnsi="仿宋" w:eastAsia="仿宋"/>
          <w:b w:val="0"/>
          <w:bCs w:val="0"/>
          <w:color w:val="auto"/>
          <w:sz w:val="32"/>
          <w:szCs w:val="32"/>
          <w:highlight w:val="none"/>
        </w:rPr>
        <w:t>八、</w:t>
      </w:r>
      <w:r>
        <w:rPr>
          <w:rFonts w:hint="eastAsia" w:ascii="仿宋" w:hAnsi="仿宋" w:eastAsia="仿宋"/>
          <w:b w:val="0"/>
          <w:color w:val="auto"/>
          <w:sz w:val="32"/>
          <w:szCs w:val="32"/>
          <w:highlight w:val="none"/>
        </w:rPr>
        <w:t>一</w:t>
      </w:r>
      <w:r>
        <w:rPr>
          <w:rStyle w:val="28"/>
          <w:rFonts w:hint="eastAsia" w:ascii="仿宋" w:hAnsi="仿宋" w:eastAsia="仿宋"/>
          <w:b w:val="0"/>
          <w:bCs w:val="0"/>
          <w:color w:val="auto"/>
          <w:sz w:val="32"/>
          <w:szCs w:val="32"/>
          <w:highlight w:val="none"/>
        </w:rPr>
        <w:t>般公共预算财政拨款基本支出决算表</w:t>
      </w:r>
      <w:bookmarkEnd w:id="129"/>
      <w:bookmarkEnd w:id="130"/>
      <w:bookmarkEnd w:id="131"/>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32" w:name="_Toc245180878"/>
      <w:bookmarkStart w:id="133" w:name="_Toc15396627"/>
      <w:bookmarkStart w:id="134" w:name="_Toc979815303"/>
      <w:r>
        <w:rPr>
          <w:rStyle w:val="28"/>
          <w:rFonts w:hint="eastAsia" w:ascii="仿宋" w:hAnsi="仿宋" w:eastAsia="仿宋"/>
          <w:b w:val="0"/>
          <w:bCs w:val="0"/>
          <w:color w:val="auto"/>
          <w:sz w:val="32"/>
          <w:szCs w:val="32"/>
          <w:highlight w:val="none"/>
        </w:rPr>
        <w:t>九、</w:t>
      </w:r>
      <w:r>
        <w:rPr>
          <w:rFonts w:hint="eastAsia" w:ascii="仿宋" w:hAnsi="仿宋" w:eastAsia="仿宋"/>
          <w:b w:val="0"/>
          <w:color w:val="auto"/>
          <w:sz w:val="32"/>
          <w:szCs w:val="32"/>
          <w:highlight w:val="none"/>
        </w:rPr>
        <w:t>一</w:t>
      </w:r>
      <w:r>
        <w:rPr>
          <w:rStyle w:val="28"/>
          <w:rFonts w:hint="eastAsia" w:ascii="仿宋" w:hAnsi="仿宋" w:eastAsia="仿宋"/>
          <w:b w:val="0"/>
          <w:bCs w:val="0"/>
          <w:color w:val="auto"/>
          <w:sz w:val="32"/>
          <w:szCs w:val="32"/>
          <w:highlight w:val="none"/>
        </w:rPr>
        <w:t>般公共预算财政拨款项目支出决算表</w:t>
      </w:r>
      <w:bookmarkEnd w:id="132"/>
      <w:bookmarkEnd w:id="133"/>
      <w:bookmarkEnd w:id="134"/>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35" w:name="_Toc1679944343"/>
      <w:bookmarkStart w:id="136" w:name="_Toc1953931788"/>
      <w:bookmarkStart w:id="137" w:name="_Toc15396628"/>
      <w:r>
        <w:rPr>
          <w:rStyle w:val="28"/>
          <w:rFonts w:hint="eastAsia" w:ascii="仿宋" w:hAnsi="仿宋" w:eastAsia="仿宋"/>
          <w:b w:val="0"/>
          <w:bCs w:val="0"/>
          <w:color w:val="auto"/>
          <w:sz w:val="32"/>
          <w:szCs w:val="32"/>
          <w:highlight w:val="none"/>
        </w:rPr>
        <w:t>十、</w:t>
      </w:r>
      <w:r>
        <w:rPr>
          <w:rFonts w:hint="eastAsia" w:ascii="仿宋" w:hAnsi="仿宋" w:eastAsia="仿宋"/>
          <w:b w:val="0"/>
          <w:color w:val="auto"/>
          <w:sz w:val="32"/>
          <w:szCs w:val="32"/>
          <w:highlight w:val="none"/>
        </w:rPr>
        <w:t>一</w:t>
      </w:r>
      <w:r>
        <w:rPr>
          <w:rStyle w:val="28"/>
          <w:rFonts w:hint="eastAsia" w:ascii="仿宋" w:hAnsi="仿宋" w:eastAsia="仿宋"/>
          <w:b w:val="0"/>
          <w:bCs w:val="0"/>
          <w:color w:val="auto"/>
          <w:sz w:val="32"/>
          <w:szCs w:val="32"/>
          <w:highlight w:val="none"/>
        </w:rPr>
        <w:t>般公共预算财政拨款“三公”经费支出决算表</w:t>
      </w:r>
      <w:bookmarkEnd w:id="135"/>
      <w:bookmarkEnd w:id="136"/>
      <w:bookmarkEnd w:id="137"/>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38" w:name="_Toc15396629"/>
      <w:bookmarkStart w:id="139" w:name="_Toc645237428"/>
      <w:bookmarkStart w:id="140" w:name="_Toc1095030742"/>
      <w:r>
        <w:rPr>
          <w:rStyle w:val="28"/>
          <w:rFonts w:hint="eastAsia" w:ascii="仿宋" w:hAnsi="仿宋" w:eastAsia="仿宋"/>
          <w:b w:val="0"/>
          <w:bCs w:val="0"/>
          <w:color w:val="auto"/>
          <w:sz w:val="32"/>
          <w:szCs w:val="32"/>
          <w:highlight w:val="none"/>
        </w:rPr>
        <w:t>十一、</w:t>
      </w:r>
      <w:r>
        <w:rPr>
          <w:rFonts w:hint="eastAsia" w:ascii="仿宋" w:hAnsi="仿宋" w:eastAsia="仿宋"/>
          <w:b w:val="0"/>
          <w:color w:val="auto"/>
          <w:sz w:val="32"/>
          <w:szCs w:val="32"/>
          <w:highlight w:val="none"/>
        </w:rPr>
        <w:t>政</w:t>
      </w:r>
      <w:r>
        <w:rPr>
          <w:rStyle w:val="28"/>
          <w:rFonts w:hint="eastAsia" w:ascii="仿宋" w:hAnsi="仿宋" w:eastAsia="仿宋"/>
          <w:b w:val="0"/>
          <w:bCs w:val="0"/>
          <w:color w:val="auto"/>
          <w:sz w:val="32"/>
          <w:szCs w:val="32"/>
          <w:highlight w:val="none"/>
        </w:rPr>
        <w:t>府性基金预算财政拨款收入支出决算表</w:t>
      </w:r>
      <w:bookmarkEnd w:id="138"/>
      <w:bookmarkEnd w:id="139"/>
      <w:bookmarkEnd w:id="140"/>
    </w:p>
    <w:p>
      <w:pPr>
        <w:pStyle w:val="4"/>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highlight w:val="none"/>
        </w:rPr>
      </w:pPr>
      <w:bookmarkStart w:id="141" w:name="_Toc524388450"/>
      <w:bookmarkStart w:id="142" w:name="_Toc1308684988"/>
      <w:bookmarkStart w:id="143" w:name="_Toc15396630"/>
      <w:r>
        <w:rPr>
          <w:rStyle w:val="28"/>
          <w:rFonts w:hint="eastAsia" w:ascii="仿宋" w:hAnsi="仿宋" w:eastAsia="仿宋"/>
          <w:b w:val="0"/>
          <w:bCs w:val="0"/>
          <w:color w:val="auto"/>
          <w:sz w:val="32"/>
          <w:szCs w:val="32"/>
          <w:highlight w:val="none"/>
        </w:rPr>
        <w:t>十二、</w:t>
      </w:r>
      <w:r>
        <w:rPr>
          <w:rFonts w:hint="eastAsia" w:ascii="仿宋" w:hAnsi="仿宋" w:eastAsia="仿宋"/>
          <w:b w:val="0"/>
          <w:color w:val="auto"/>
          <w:sz w:val="32"/>
          <w:szCs w:val="32"/>
          <w:highlight w:val="none"/>
        </w:rPr>
        <w:t>政</w:t>
      </w:r>
      <w:r>
        <w:rPr>
          <w:rStyle w:val="28"/>
          <w:rFonts w:hint="eastAsia" w:ascii="仿宋" w:hAnsi="仿宋" w:eastAsia="仿宋"/>
          <w:b w:val="0"/>
          <w:bCs w:val="0"/>
          <w:color w:val="auto"/>
          <w:sz w:val="32"/>
          <w:szCs w:val="32"/>
          <w:highlight w:val="none"/>
        </w:rPr>
        <w:t>府性基金预算财政拨款“三公”经费支出决算表</w:t>
      </w:r>
      <w:bookmarkEnd w:id="141"/>
      <w:bookmarkEnd w:id="142"/>
      <w:bookmarkEnd w:id="143"/>
    </w:p>
    <w:p>
      <w:pPr>
        <w:pStyle w:val="4"/>
        <w:pageBreakBefore w:val="0"/>
        <w:widowControl w:val="0"/>
        <w:kinsoku/>
        <w:wordWrap/>
        <w:overflowPunct/>
        <w:topLinePunct w:val="0"/>
        <w:autoSpaceDE/>
        <w:autoSpaceDN/>
        <w:bidi w:val="0"/>
        <w:adjustRightInd/>
        <w:snapToGrid/>
        <w:spacing w:line="520" w:lineRule="exact"/>
        <w:textAlignment w:val="auto"/>
        <w:rPr>
          <w:rStyle w:val="28"/>
          <w:rFonts w:hint="eastAsia" w:ascii="仿宋" w:hAnsi="仿宋" w:eastAsia="仿宋"/>
          <w:b w:val="0"/>
          <w:bCs w:val="0"/>
          <w:color w:val="auto"/>
          <w:sz w:val="32"/>
          <w:szCs w:val="32"/>
          <w:highlight w:val="none"/>
        </w:rPr>
      </w:pPr>
      <w:bookmarkStart w:id="144" w:name="_Toc15396631"/>
      <w:bookmarkStart w:id="145" w:name="_Toc408566616"/>
      <w:bookmarkStart w:id="146" w:name="_Toc1933051739"/>
      <w:r>
        <w:rPr>
          <w:rStyle w:val="28"/>
          <w:rFonts w:hint="eastAsia" w:ascii="仿宋" w:hAnsi="仿宋" w:eastAsia="仿宋"/>
          <w:b w:val="0"/>
          <w:bCs w:val="0"/>
          <w:color w:val="auto"/>
          <w:sz w:val="32"/>
          <w:szCs w:val="32"/>
          <w:highlight w:val="none"/>
        </w:rPr>
        <w:t>十三、</w:t>
      </w:r>
      <w:r>
        <w:rPr>
          <w:rFonts w:hint="eastAsia" w:ascii="仿宋" w:hAnsi="仿宋" w:eastAsia="仿宋"/>
          <w:b w:val="0"/>
          <w:color w:val="auto"/>
          <w:sz w:val="32"/>
          <w:szCs w:val="32"/>
          <w:highlight w:val="none"/>
        </w:rPr>
        <w:t>国</w:t>
      </w:r>
      <w:r>
        <w:rPr>
          <w:rStyle w:val="28"/>
          <w:rFonts w:hint="eastAsia" w:ascii="仿宋" w:hAnsi="仿宋" w:eastAsia="仿宋"/>
          <w:b w:val="0"/>
          <w:bCs w:val="0"/>
          <w:color w:val="auto"/>
          <w:sz w:val="32"/>
          <w:szCs w:val="32"/>
          <w:highlight w:val="none"/>
        </w:rPr>
        <w:t>有资本经营预算</w:t>
      </w:r>
      <w:r>
        <w:rPr>
          <w:rStyle w:val="28"/>
          <w:rFonts w:hint="eastAsia" w:ascii="仿宋" w:hAnsi="仿宋" w:eastAsia="仿宋"/>
          <w:b w:val="0"/>
          <w:bCs w:val="0"/>
          <w:color w:val="auto"/>
          <w:sz w:val="32"/>
          <w:szCs w:val="32"/>
          <w:highlight w:val="none"/>
          <w:lang w:eastAsia="zh-CN"/>
        </w:rPr>
        <w:t>财政拨款收入</w:t>
      </w:r>
      <w:r>
        <w:rPr>
          <w:rStyle w:val="28"/>
          <w:rFonts w:hint="eastAsia" w:ascii="仿宋" w:hAnsi="仿宋" w:eastAsia="仿宋"/>
          <w:b w:val="0"/>
          <w:bCs w:val="0"/>
          <w:color w:val="auto"/>
          <w:sz w:val="32"/>
          <w:szCs w:val="32"/>
          <w:highlight w:val="none"/>
        </w:rPr>
        <w:t>支出决算表</w:t>
      </w:r>
      <w:bookmarkEnd w:id="144"/>
      <w:bookmarkEnd w:id="145"/>
      <w:bookmarkEnd w:id="146"/>
    </w:p>
    <w:p>
      <w:pPr>
        <w:pageBreakBefore w:val="0"/>
        <w:widowControl w:val="0"/>
        <w:kinsoku/>
        <w:wordWrap/>
        <w:overflowPunct/>
        <w:topLinePunct w:val="0"/>
        <w:autoSpaceDE/>
        <w:autoSpaceDN/>
        <w:bidi w:val="0"/>
        <w:adjustRightInd/>
        <w:snapToGrid/>
        <w:spacing w:line="520" w:lineRule="exact"/>
        <w:textAlignment w:val="auto"/>
        <w:rPr>
          <w:rFonts w:hint="eastAsia" w:eastAsia="仿宋"/>
          <w:color w:val="auto"/>
          <w:sz w:val="32"/>
          <w:szCs w:val="32"/>
          <w:highlight w:val="none"/>
          <w:lang w:eastAsia="zh-CN"/>
        </w:rPr>
      </w:pPr>
      <w:bookmarkStart w:id="147" w:name="_Toc984967133"/>
      <w:bookmarkStart w:id="148" w:name="_Toc918352879"/>
      <w:r>
        <w:rPr>
          <w:rStyle w:val="28"/>
          <w:rFonts w:hint="eastAsia" w:ascii="仿宋" w:hAnsi="仿宋" w:eastAsia="仿宋"/>
          <w:b w:val="0"/>
          <w:bCs w:val="0"/>
          <w:color w:val="auto"/>
          <w:sz w:val="32"/>
          <w:szCs w:val="32"/>
          <w:highlight w:val="none"/>
          <w:lang w:eastAsia="zh-CN"/>
        </w:rPr>
        <w:t>十四、国有资本经营预算财政拨款支出决算表</w:t>
      </w:r>
      <w:bookmarkEnd w:id="147"/>
      <w:bookmarkEnd w:id="148"/>
    </w:p>
    <w:sectPr>
      <w:footerReference r:id="rId6" w:type="first"/>
      <w:footerReference r:id="rId5"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ACFBA96"/>
    <w:multiLevelType w:val="singleLevel"/>
    <w:tmpl w:val="DACFBA96"/>
    <w:lvl w:ilvl="0" w:tentative="0">
      <w:start w:val="1"/>
      <w:numFmt w:val="decimal"/>
      <w:suff w:val="nothing"/>
      <w:lvlText w:val="（%1）"/>
      <w:lvlJc w:val="left"/>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6D2CFCA"/>
    <w:multiLevelType w:val="singleLevel"/>
    <w:tmpl w:val="46D2CFCA"/>
    <w:lvl w:ilvl="0" w:tentative="0">
      <w:start w:val="1"/>
      <w:numFmt w:val="decimal"/>
      <w:lvlText w:val="%1."/>
      <w:lvlJc w:val="left"/>
      <w:pPr>
        <w:tabs>
          <w:tab w:val="left" w:pos="312"/>
        </w:tabs>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NGY0YjVkNTg1YTZlN2MyYmI1YzQ3ZjRjZjA0OD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D30859"/>
    <w:rsid w:val="0A2032A3"/>
    <w:rsid w:val="0B8A37D8"/>
    <w:rsid w:val="0CF21D54"/>
    <w:rsid w:val="10C055FF"/>
    <w:rsid w:val="118107EC"/>
    <w:rsid w:val="11DD6519"/>
    <w:rsid w:val="13E6077C"/>
    <w:rsid w:val="16BB723D"/>
    <w:rsid w:val="18015F3F"/>
    <w:rsid w:val="1BE8440E"/>
    <w:rsid w:val="1D155CEE"/>
    <w:rsid w:val="20F57F95"/>
    <w:rsid w:val="22811619"/>
    <w:rsid w:val="240371BF"/>
    <w:rsid w:val="25C741E6"/>
    <w:rsid w:val="27842671"/>
    <w:rsid w:val="29FD04D3"/>
    <w:rsid w:val="2ABE7A3E"/>
    <w:rsid w:val="2EFA178C"/>
    <w:rsid w:val="30B46D73"/>
    <w:rsid w:val="316136A3"/>
    <w:rsid w:val="319F7F4E"/>
    <w:rsid w:val="367F5C08"/>
    <w:rsid w:val="37BD04BB"/>
    <w:rsid w:val="39AE70AB"/>
    <w:rsid w:val="3C0C0783"/>
    <w:rsid w:val="3F9F3A96"/>
    <w:rsid w:val="48500583"/>
    <w:rsid w:val="493C27E9"/>
    <w:rsid w:val="496F39ED"/>
    <w:rsid w:val="49FF41D3"/>
    <w:rsid w:val="4BE068DB"/>
    <w:rsid w:val="4BF6002B"/>
    <w:rsid w:val="4ECE2238"/>
    <w:rsid w:val="51DB4B86"/>
    <w:rsid w:val="55333C3E"/>
    <w:rsid w:val="64CA39A1"/>
    <w:rsid w:val="6C4A05C8"/>
    <w:rsid w:val="72734D90"/>
    <w:rsid w:val="784D4A4C"/>
    <w:rsid w:val="79E7B28D"/>
    <w:rsid w:val="7F9F20EE"/>
    <w:rsid w:val="9E3A10E2"/>
    <w:rsid w:val="A2DF2925"/>
    <w:rsid w:val="DFE4E959"/>
    <w:rsid w:val="EF69C186"/>
    <w:rsid w:val="F2E1F9D4"/>
    <w:rsid w:val="F7880819"/>
    <w:rsid w:val="FF54E3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spacing w:before="120" w:after="120" w:line="360" w:lineRule="auto"/>
      <w:ind w:left="3920" w:leftChars="1400"/>
      <w:jc w:val="left"/>
    </w:pPr>
    <w:rPr>
      <w:rFonts w:ascii="Times New Roman" w:hAnsi="Times New Roman" w:eastAsia="宋体" w:cs="Times New Roman"/>
      <w:b/>
      <w:szCs w:val="24"/>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Body Text Indent"/>
    <w:basedOn w:val="1"/>
    <w:qFormat/>
    <w:uiPriority w:val="0"/>
    <w:pPr>
      <w:spacing w:line="360" w:lineRule="auto"/>
      <w:ind w:firstLine="480" w:firstLineChars="200"/>
    </w:pPr>
    <w:rPr>
      <w:kern w:val="0"/>
      <w:sz w:val="24"/>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qFormat/>
    <w:uiPriority w:val="0"/>
    <w:pPr>
      <w:ind w:firstLine="64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2.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工作表.xlsx]Sheet1'!$A$9</c:f>
              <c:strCache>
                <c:ptCount val="1"/>
                <c:pt idx="0">
                  <c:v>2021年</c:v>
                </c:pt>
              </c:strCache>
            </c:strRef>
          </c:tx>
          <c:spPr>
            <a:solidFill>
              <a:schemeClr val="accent1"/>
            </a:solidFill>
            <a:ln>
              <a:noFill/>
            </a:ln>
            <a:effectLst/>
          </c:spPr>
          <c:invertIfNegative val="0"/>
          <c:dLbls>
            <c:delete val="1"/>
          </c:dLbls>
          <c:cat>
            <c:strRef>
              <c:f>'[新建 XLSX 工作表.xlsx]Sheet1'!$B$8:$C$8</c:f>
              <c:strCache>
                <c:ptCount val="2"/>
                <c:pt idx="0">
                  <c:v>收入总计</c:v>
                </c:pt>
                <c:pt idx="1">
                  <c:v>支出总计</c:v>
                </c:pt>
              </c:strCache>
            </c:strRef>
          </c:cat>
          <c:val>
            <c:numRef>
              <c:f>'[新建 XLSX 工作表.xlsx]Sheet1'!$B$9:$C$9</c:f>
              <c:numCache>
                <c:formatCode>General</c:formatCode>
                <c:ptCount val="2"/>
                <c:pt idx="0">
                  <c:v>591.34</c:v>
                </c:pt>
                <c:pt idx="1">
                  <c:v>724.73</c:v>
                </c:pt>
              </c:numCache>
            </c:numRef>
          </c:val>
        </c:ser>
        <c:ser>
          <c:idx val="1"/>
          <c:order val="1"/>
          <c:tx>
            <c:strRef>
              <c:f>'[新建 XLSX 工作表.xlsx]Sheet1'!$A$10</c:f>
              <c:strCache>
                <c:ptCount val="1"/>
                <c:pt idx="0">
                  <c:v>2020年</c:v>
                </c:pt>
              </c:strCache>
            </c:strRef>
          </c:tx>
          <c:spPr>
            <a:solidFill>
              <a:schemeClr val="accent2"/>
            </a:solidFill>
            <a:ln>
              <a:noFill/>
            </a:ln>
            <a:effectLst/>
          </c:spPr>
          <c:invertIfNegative val="0"/>
          <c:dLbls>
            <c:delete val="1"/>
          </c:dLbls>
          <c:cat>
            <c:strRef>
              <c:f>'[新建 XLSX 工作表.xlsx]Sheet1'!$B$8:$C$8</c:f>
              <c:strCache>
                <c:ptCount val="2"/>
                <c:pt idx="0">
                  <c:v>收入总计</c:v>
                </c:pt>
                <c:pt idx="1">
                  <c:v>支出总计</c:v>
                </c:pt>
              </c:strCache>
            </c:strRef>
          </c:cat>
          <c:val>
            <c:numRef>
              <c:f>'[新建 XLSX 工作表.xlsx]Sheet1'!$B$10:$C$10</c:f>
              <c:numCache>
                <c:formatCode>General</c:formatCode>
                <c:ptCount val="2"/>
                <c:pt idx="0">
                  <c:v>454.34</c:v>
                </c:pt>
                <c:pt idx="1">
                  <c:v>911.63</c:v>
                </c:pt>
              </c:numCache>
            </c:numRef>
          </c:val>
        </c:ser>
        <c:dLbls>
          <c:showLegendKey val="0"/>
          <c:showVal val="0"/>
          <c:showCatName val="0"/>
          <c:showSerName val="0"/>
          <c:showPercent val="0"/>
          <c:showBubbleSize val="0"/>
        </c:dLbls>
        <c:gapWidth val="219"/>
        <c:overlap val="-27"/>
        <c:axId val="269512489"/>
        <c:axId val="111607925"/>
      </c:barChart>
      <c:catAx>
        <c:axId val="2695124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607925"/>
        <c:crosses val="autoZero"/>
        <c:auto val="1"/>
        <c:lblAlgn val="ctr"/>
        <c:lblOffset val="100"/>
        <c:noMultiLvlLbl val="0"/>
      </c:catAx>
      <c:valAx>
        <c:axId val="1116079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5124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工作表.xlsx]Sheet1'!$B$13:$B$14</c:f>
              <c:strCache>
                <c:ptCount val="2"/>
                <c:pt idx="0">
                  <c:v>基本支出</c:v>
                </c:pt>
                <c:pt idx="1">
                  <c:v>项目支出</c:v>
                </c:pt>
              </c:strCache>
            </c:strRef>
          </c:cat>
          <c:val>
            <c:numRef>
              <c:f>'[新建 XLSX 工作表.xlsx]Sheet1'!$C$13:$C$14</c:f>
              <c:numCache>
                <c:formatCode>0.0%</c:formatCode>
                <c:ptCount val="2"/>
                <c:pt idx="0">
                  <c:v>0.311</c:v>
                </c:pt>
                <c:pt idx="1">
                  <c:v>0.689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工作表.xlsx]Sheet1'!$A$9</c:f>
              <c:strCache>
                <c:ptCount val="1"/>
                <c:pt idx="0">
                  <c:v>2021年</c:v>
                </c:pt>
              </c:strCache>
            </c:strRef>
          </c:tx>
          <c:spPr>
            <a:solidFill>
              <a:schemeClr val="accent1"/>
            </a:solidFill>
            <a:ln>
              <a:noFill/>
            </a:ln>
            <a:effectLst/>
          </c:spPr>
          <c:invertIfNegative val="0"/>
          <c:dLbls>
            <c:delete val="1"/>
          </c:dLbls>
          <c:cat>
            <c:strRef>
              <c:f>'[新建 XLSX 工作表.xlsx]Sheet1'!$B$8:$C$8</c:f>
              <c:strCache>
                <c:ptCount val="2"/>
                <c:pt idx="0">
                  <c:v>收入总计</c:v>
                </c:pt>
                <c:pt idx="1">
                  <c:v>支出总计</c:v>
                </c:pt>
              </c:strCache>
            </c:strRef>
          </c:cat>
          <c:val>
            <c:numRef>
              <c:f>'[新建 XLSX 工作表.xlsx]Sheet1'!$B$9:$C$9</c:f>
              <c:numCache>
                <c:formatCode>General</c:formatCode>
                <c:ptCount val="2"/>
                <c:pt idx="0">
                  <c:v>591.34</c:v>
                </c:pt>
                <c:pt idx="1">
                  <c:v>724.73</c:v>
                </c:pt>
              </c:numCache>
            </c:numRef>
          </c:val>
        </c:ser>
        <c:ser>
          <c:idx val="1"/>
          <c:order val="1"/>
          <c:tx>
            <c:strRef>
              <c:f>'[新建 XLSX 工作表.xlsx]Sheet1'!$A$10</c:f>
              <c:strCache>
                <c:ptCount val="1"/>
                <c:pt idx="0">
                  <c:v>2020年</c:v>
                </c:pt>
              </c:strCache>
            </c:strRef>
          </c:tx>
          <c:spPr>
            <a:solidFill>
              <a:schemeClr val="accent2"/>
            </a:solidFill>
            <a:ln>
              <a:noFill/>
            </a:ln>
            <a:effectLst/>
          </c:spPr>
          <c:invertIfNegative val="0"/>
          <c:dLbls>
            <c:delete val="1"/>
          </c:dLbls>
          <c:cat>
            <c:strRef>
              <c:f>'[新建 XLSX 工作表.xlsx]Sheet1'!$B$8:$C$8</c:f>
              <c:strCache>
                <c:ptCount val="2"/>
                <c:pt idx="0">
                  <c:v>收入总计</c:v>
                </c:pt>
                <c:pt idx="1">
                  <c:v>支出总计</c:v>
                </c:pt>
              </c:strCache>
            </c:strRef>
          </c:cat>
          <c:val>
            <c:numRef>
              <c:f>'[新建 XLSX 工作表.xlsx]Sheet1'!$B$10:$C$10</c:f>
              <c:numCache>
                <c:formatCode>General</c:formatCode>
                <c:ptCount val="2"/>
                <c:pt idx="0">
                  <c:v>454.34</c:v>
                </c:pt>
                <c:pt idx="1">
                  <c:v>911.63</c:v>
                </c:pt>
              </c:numCache>
            </c:numRef>
          </c:val>
        </c:ser>
        <c:dLbls>
          <c:showLegendKey val="0"/>
          <c:showVal val="0"/>
          <c:showCatName val="0"/>
          <c:showSerName val="0"/>
          <c:showPercent val="0"/>
          <c:showBubbleSize val="0"/>
        </c:dLbls>
        <c:gapWidth val="219"/>
        <c:overlap val="-27"/>
        <c:axId val="269512489"/>
        <c:axId val="111607925"/>
      </c:barChart>
      <c:catAx>
        <c:axId val="2695124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607925"/>
        <c:crosses val="autoZero"/>
        <c:auto val="1"/>
        <c:lblAlgn val="ctr"/>
        <c:lblOffset val="100"/>
        <c:noMultiLvlLbl val="0"/>
      </c:catAx>
      <c:valAx>
        <c:axId val="1116079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5124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XLSX 工作表.xlsx]Sheet1'!$B$8</c:f>
              <c:strCache>
                <c:ptCount val="1"/>
                <c:pt idx="0">
                  <c:v>一般公共预算财政拨款支出</c:v>
                </c:pt>
              </c:strCache>
            </c:strRef>
          </c:tx>
          <c:spPr>
            <a:solidFill>
              <a:schemeClr val="accent1"/>
            </a:solidFill>
            <a:ln>
              <a:noFill/>
            </a:ln>
            <a:effectLst/>
          </c:spPr>
          <c:invertIfNegative val="0"/>
          <c:dLbls>
            <c:delete val="1"/>
          </c:dLbls>
          <c:cat>
            <c:strRef>
              <c:f>'[新建 XLSX 工作表.xlsx]Sheet1'!$A$9:$A$10</c:f>
              <c:strCache>
                <c:ptCount val="2"/>
                <c:pt idx="0">
                  <c:v>2021年</c:v>
                </c:pt>
                <c:pt idx="1">
                  <c:v>2020年</c:v>
                </c:pt>
              </c:strCache>
            </c:strRef>
          </c:cat>
          <c:val>
            <c:numRef>
              <c:f>'[新建 XLSX 工作表.xlsx]Sheet1'!$B$9:$B$10</c:f>
              <c:numCache>
                <c:formatCode>General</c:formatCode>
                <c:ptCount val="2"/>
                <c:pt idx="0">
                  <c:v>724.73</c:v>
                </c:pt>
                <c:pt idx="1">
                  <c:v>911.63</c:v>
                </c:pt>
              </c:numCache>
            </c:numRef>
          </c:val>
        </c:ser>
        <c:dLbls>
          <c:showLegendKey val="0"/>
          <c:showVal val="0"/>
          <c:showCatName val="0"/>
          <c:showSerName val="0"/>
          <c:showPercent val="0"/>
          <c:showBubbleSize val="0"/>
        </c:dLbls>
        <c:gapWidth val="219"/>
        <c:overlap val="-27"/>
        <c:axId val="180036907"/>
        <c:axId val="585284456"/>
      </c:barChart>
      <c:catAx>
        <c:axId val="1800369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284456"/>
        <c:crosses val="autoZero"/>
        <c:auto val="1"/>
        <c:lblAlgn val="ctr"/>
        <c:lblOffset val="100"/>
        <c:noMultiLvlLbl val="0"/>
      </c:catAx>
      <c:valAx>
        <c:axId val="585284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00369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Pt>
            <c:idx val="3"/>
            <c:bubble3D val="0"/>
            <c:explosion val="0"/>
            <c:spPr>
              <a:solidFill>
                <a:srgbClr val="03911B"/>
              </a:solidFill>
              <a:ln w="19050">
                <a:noFill/>
              </a:ln>
              <a:effectLst>
                <a:outerShdw blurRad="50800" dist="38100" dir="2700000" algn="tl" rotWithShape="0">
                  <a:prstClr val="black">
                    <a:alpha val="40000"/>
                  </a:prstClr>
                </a:outerShdw>
              </a:effectLst>
            </c:spPr>
          </c:dPt>
          <c:dPt>
            <c:idx val="4"/>
            <c:bubble3D val="0"/>
            <c:explosion val="0"/>
            <c:spPr>
              <a:solidFill>
                <a:srgbClr val="008248"/>
              </a:solidFill>
              <a:ln w="19050">
                <a:noFill/>
              </a:ln>
              <a:effectLst>
                <a:outerShdw blurRad="50800" dist="38100" dir="2700000" algn="tl"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工作表.xlsx]Sheet1'!$A$17:$A$21</c:f>
              <c:strCache>
                <c:ptCount val="5"/>
                <c:pt idx="0">
                  <c:v>社会保障和就业</c:v>
                </c:pt>
                <c:pt idx="1">
                  <c:v>灾害防治及应急管理</c:v>
                </c:pt>
                <c:pt idx="2">
                  <c:v>农林水</c:v>
                </c:pt>
                <c:pt idx="3">
                  <c:v>住房保障</c:v>
                </c:pt>
                <c:pt idx="4">
                  <c:v>卫生健康</c:v>
                </c:pt>
              </c:strCache>
            </c:strRef>
          </c:cat>
          <c:val>
            <c:numRef>
              <c:f>'[新建 XLSX 工作表.xlsx]Sheet1'!$B$17:$B$21</c:f>
              <c:numCache>
                <c:formatCode>0.00%</c:formatCode>
                <c:ptCount val="5"/>
                <c:pt idx="0">
                  <c:v>0.0541</c:v>
                </c:pt>
                <c:pt idx="1">
                  <c:v>0.2069</c:v>
                </c:pt>
                <c:pt idx="2">
                  <c:v>0.7173</c:v>
                </c:pt>
                <c:pt idx="3">
                  <c:v>0.0121</c:v>
                </c:pt>
                <c:pt idx="4">
                  <c:v>0.0096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4"/>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工作表.xlsx]Sheet1'!$A$2:$A$4</c:f>
              <c:strCache>
                <c:ptCount val="3"/>
                <c:pt idx="0">
                  <c:v>因公出国</c:v>
                </c:pt>
                <c:pt idx="1">
                  <c:v>公务用车运行维护费</c:v>
                </c:pt>
                <c:pt idx="2">
                  <c:v>公务接待</c:v>
                </c:pt>
              </c:strCache>
            </c:strRef>
          </c:cat>
          <c:val>
            <c:numRef>
              <c:f>'[新建 XLSX 工作表.xlsx]Sheet1'!$B$2:$B$4</c:f>
              <c:numCache>
                <c:formatCode>General</c:formatCode>
                <c:ptCount val="3"/>
                <c:pt idx="0">
                  <c:v>0</c:v>
                </c:pt>
                <c:pt idx="1" c:formatCode="0.00%">
                  <c:v>0.824</c:v>
                </c:pt>
                <c:pt idx="2" c:formatCode="0.00%">
                  <c:v>0.176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7438</Words>
  <Characters>7989</Characters>
  <Lines>61</Lines>
  <Paragraphs>17</Paragraphs>
  <TotalTime>37</TotalTime>
  <ScaleCrop>false</ScaleCrop>
  <LinksUpToDate>false</LinksUpToDate>
  <CharactersWithSpaces>8112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木木</cp:lastModifiedBy>
  <cp:lastPrinted>2022-08-06T18:23:00Z</cp:lastPrinted>
  <dcterms:modified xsi:type="dcterms:W3CDTF">2023-05-11T23:26:49Z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004EABF2653A4A658836989A09CCF019</vt:lpwstr>
  </property>
</Properties>
</file>