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12" w:lineRule="auto"/>
        <w:ind w:firstLine="0" w:firstLineChars="0"/>
        <w:jc w:val="center"/>
        <w:rPr>
          <w:rFonts w:hint="default" w:ascii="Times New Roman" w:hAnsi="Times New Roman" w:eastAsia="华文宋体" w:cs="Times New Roman"/>
          <w:b/>
          <w:bCs/>
          <w:sz w:val="52"/>
          <w:szCs w:val="5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1100" w:lineRule="exact"/>
        <w:ind w:firstLine="0" w:firstLineChars="0"/>
        <w:jc w:val="center"/>
        <w:textAlignment w:val="auto"/>
        <w:rPr>
          <w:rFonts w:hint="eastAsia" w:ascii="方正小标宋_GBK" w:hAnsi="方正小标宋_GBK" w:eastAsia="方正小标宋_GBK" w:cs="方正小标宋_GBK"/>
          <w:b/>
          <w:bCs/>
          <w:sz w:val="56"/>
          <w:szCs w:val="56"/>
        </w:rPr>
      </w:pPr>
      <w:r>
        <w:rPr>
          <w:rFonts w:hint="eastAsia" w:ascii="方正小标宋_GBK" w:hAnsi="方正小标宋_GBK" w:eastAsia="方正小标宋_GBK" w:cs="方正小标宋_GBK"/>
          <w:b/>
          <w:bCs/>
          <w:sz w:val="56"/>
          <w:szCs w:val="56"/>
        </w:rPr>
        <w:t>巴中市“十四五”节水型</w:t>
      </w:r>
    </w:p>
    <w:p>
      <w:pPr>
        <w:keepNext w:val="0"/>
        <w:keepLines w:val="0"/>
        <w:pageBreakBefore w:val="0"/>
        <w:widowControl w:val="0"/>
        <w:kinsoku/>
        <w:wordWrap/>
        <w:overflowPunct/>
        <w:topLinePunct w:val="0"/>
        <w:autoSpaceDE/>
        <w:autoSpaceDN/>
        <w:bidi w:val="0"/>
        <w:adjustRightInd/>
        <w:snapToGrid w:val="0"/>
        <w:spacing w:line="1100" w:lineRule="exact"/>
        <w:ind w:firstLine="0" w:firstLineChars="0"/>
        <w:jc w:val="center"/>
        <w:textAlignment w:val="auto"/>
        <w:rPr>
          <w:rFonts w:hint="eastAsia" w:ascii="方正小标宋_GBK" w:hAnsi="方正小标宋_GBK" w:eastAsia="方正小标宋_GBK" w:cs="方正小标宋_GBK"/>
          <w:b/>
          <w:bCs/>
          <w:sz w:val="52"/>
          <w:szCs w:val="52"/>
        </w:rPr>
      </w:pPr>
      <w:r>
        <w:rPr>
          <w:rFonts w:hint="eastAsia" w:ascii="方正小标宋_GBK" w:hAnsi="方正小标宋_GBK" w:eastAsia="方正小标宋_GBK" w:cs="方正小标宋_GBK"/>
          <w:b/>
          <w:bCs/>
          <w:sz w:val="56"/>
          <w:szCs w:val="56"/>
        </w:rPr>
        <w:t>社会建设规划</w:t>
      </w:r>
    </w:p>
    <w:p>
      <w:pPr>
        <w:snapToGrid w:val="0"/>
        <w:ind w:firstLine="640"/>
        <w:jc w:val="center"/>
        <w:rPr>
          <w:rFonts w:hint="default" w:ascii="Times New Roman" w:hAnsi="Times New Roman" w:eastAsia="楷体_GB2312" w:cs="Times New Roman"/>
        </w:rPr>
      </w:pPr>
    </w:p>
    <w:p>
      <w:pPr>
        <w:pStyle w:val="3"/>
        <w:ind w:firstLine="600"/>
        <w:rPr>
          <w:rFonts w:hint="default" w:ascii="Times New Roman" w:hAnsi="Times New Roman" w:eastAsia="楷体_GB2312" w:cs="Times New Roman"/>
        </w:rPr>
      </w:pPr>
    </w:p>
    <w:p>
      <w:pPr>
        <w:snapToGrid w:val="0"/>
        <w:ind w:firstLine="1040"/>
        <w:rPr>
          <w:rFonts w:hint="default" w:ascii="Times New Roman" w:hAnsi="Times New Roman" w:eastAsia="华文中宋" w:cs="Times New Roman"/>
          <w:sz w:val="52"/>
          <w:szCs w:val="52"/>
        </w:rPr>
      </w:pPr>
    </w:p>
    <w:p>
      <w:pPr>
        <w:snapToGrid w:val="0"/>
        <w:ind w:firstLine="1040"/>
        <w:rPr>
          <w:rFonts w:hint="default" w:ascii="Times New Roman" w:hAnsi="Times New Roman" w:eastAsia="华文中宋" w:cs="Times New Roman"/>
          <w:sz w:val="52"/>
          <w:szCs w:val="52"/>
        </w:rPr>
      </w:pPr>
    </w:p>
    <w:p>
      <w:pPr>
        <w:snapToGrid w:val="0"/>
        <w:ind w:firstLine="0" w:firstLineChars="0"/>
        <w:rPr>
          <w:rFonts w:hint="default" w:ascii="Times New Roman" w:hAnsi="Times New Roman" w:eastAsia="华文中宋" w:cs="Times New Roman"/>
          <w:sz w:val="52"/>
          <w:szCs w:val="52"/>
        </w:rPr>
      </w:pPr>
    </w:p>
    <w:p>
      <w:pPr>
        <w:snapToGrid w:val="0"/>
        <w:ind w:firstLine="0" w:firstLineChars="0"/>
        <w:rPr>
          <w:rFonts w:hint="default" w:ascii="Times New Roman" w:hAnsi="Times New Roman" w:eastAsia="华文中宋" w:cs="Times New Roman"/>
          <w:sz w:val="52"/>
          <w:szCs w:val="52"/>
        </w:rPr>
      </w:pPr>
    </w:p>
    <w:p>
      <w:pPr>
        <w:snapToGrid w:val="0"/>
        <w:ind w:firstLine="0" w:firstLineChars="0"/>
        <w:rPr>
          <w:rFonts w:hint="default" w:ascii="Times New Roman" w:hAnsi="Times New Roman" w:eastAsia="华文中宋" w:cs="Times New Roman"/>
          <w:sz w:val="52"/>
          <w:szCs w:val="52"/>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default" w:ascii="Times New Roman" w:hAnsi="Times New Roman" w:eastAsia="楷体_GB2312" w:cs="Times New Roman"/>
          <w:b/>
          <w:bCs/>
          <w:sz w:val="36"/>
          <w:szCs w:val="36"/>
        </w:rPr>
      </w:pPr>
    </w:p>
    <w:p>
      <w:pPr>
        <w:pStyle w:val="2"/>
        <w:rPr>
          <w:rFonts w:hint="default"/>
        </w:rPr>
      </w:pPr>
      <w:r>
        <w:rPr>
          <w:sz w:val="52"/>
        </w:rPr>
        <mc:AlternateContent>
          <mc:Choice Requires="wps">
            <w:drawing>
              <wp:anchor distT="0" distB="0" distL="114300" distR="114300" simplePos="0" relativeHeight="251659264" behindDoc="0" locked="0" layoutInCell="1" allowOverlap="1">
                <wp:simplePos x="0" y="0"/>
                <wp:positionH relativeFrom="column">
                  <wp:posOffset>1203960</wp:posOffset>
                </wp:positionH>
                <wp:positionV relativeFrom="paragraph">
                  <wp:posOffset>49530</wp:posOffset>
                </wp:positionV>
                <wp:extent cx="3165475" cy="2033270"/>
                <wp:effectExtent l="0" t="0" r="15875" b="5080"/>
                <wp:wrapNone/>
                <wp:docPr id="6" name="文本框 6"/>
                <wp:cNvGraphicFramePr/>
                <a:graphic xmlns:a="http://schemas.openxmlformats.org/drawingml/2006/main">
                  <a:graphicData uri="http://schemas.microsoft.com/office/word/2010/wordprocessingShape">
                    <wps:wsp>
                      <wps:cNvSpPr txBox="1"/>
                      <wps:spPr>
                        <a:xfrm>
                          <a:off x="2321560" y="5207635"/>
                          <a:ext cx="3165475" cy="20332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distribute"/>
                              <w:textAlignment w:val="auto"/>
                              <w:rPr>
                                <w:rFonts w:hint="default" w:ascii="Times New Roman" w:hAnsi="Times New Roman" w:eastAsia="楷体_GB2312" w:cs="Times New Roman"/>
                                <w:b/>
                                <w:bCs/>
                                <w:sz w:val="36"/>
                                <w:szCs w:val="36"/>
                              </w:rPr>
                            </w:pPr>
                            <w:r>
                              <w:rPr>
                                <w:rFonts w:hint="default" w:ascii="Times New Roman" w:hAnsi="Times New Roman" w:eastAsia="楷体_GB2312" w:cs="Times New Roman"/>
                                <w:b/>
                                <w:bCs/>
                                <w:sz w:val="36"/>
                                <w:szCs w:val="36"/>
                              </w:rPr>
                              <w:t>巴中市发展</w:t>
                            </w:r>
                            <w:r>
                              <w:rPr>
                                <w:rFonts w:hint="default" w:ascii="Times New Roman" w:hAnsi="Times New Roman" w:eastAsia="楷体_GB2312" w:cs="Times New Roman"/>
                                <w:b/>
                                <w:bCs/>
                                <w:sz w:val="36"/>
                                <w:szCs w:val="36"/>
                                <w:lang w:eastAsia="zh-CN"/>
                              </w:rPr>
                              <w:t>和</w:t>
                            </w:r>
                            <w:r>
                              <w:rPr>
                                <w:rFonts w:hint="default" w:ascii="Times New Roman" w:hAnsi="Times New Roman" w:eastAsia="楷体_GB2312" w:cs="Times New Roman"/>
                                <w:b/>
                                <w:bCs/>
                                <w:sz w:val="36"/>
                                <w:szCs w:val="36"/>
                              </w:rPr>
                              <w:t>改革委员会</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distribute"/>
                              <w:textAlignment w:val="auto"/>
                              <w:rPr>
                                <w:rFonts w:hint="default" w:ascii="Times New Roman" w:hAnsi="Times New Roman" w:eastAsia="楷体_GB2312" w:cs="Times New Roman"/>
                                <w:b/>
                                <w:bCs/>
                                <w:sz w:val="36"/>
                                <w:szCs w:val="36"/>
                              </w:rPr>
                            </w:pPr>
                            <w:r>
                              <w:rPr>
                                <w:rFonts w:hint="default" w:ascii="Times New Roman" w:hAnsi="Times New Roman" w:eastAsia="楷体_GB2312" w:cs="Times New Roman"/>
                                <w:b/>
                                <w:bCs/>
                                <w:sz w:val="36"/>
                                <w:szCs w:val="36"/>
                              </w:rPr>
                              <w:t>巴中市水利局</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distribute"/>
                              <w:textAlignment w:val="auto"/>
                              <w:rPr>
                                <w:rFonts w:hint="default" w:ascii="Times New Roman" w:hAnsi="Times New Roman" w:eastAsia="楷体_GB2312" w:cs="Times New Roman"/>
                                <w:b/>
                                <w:bCs/>
                                <w:sz w:val="36"/>
                                <w:szCs w:val="36"/>
                              </w:rPr>
                            </w:pPr>
                            <w:r>
                              <w:rPr>
                                <w:rFonts w:hint="default" w:ascii="Times New Roman" w:hAnsi="Times New Roman" w:eastAsia="楷体_GB2312" w:cs="Times New Roman"/>
                                <w:b/>
                                <w:bCs/>
                                <w:sz w:val="36"/>
                                <w:szCs w:val="36"/>
                              </w:rPr>
                              <w:t>巴中市住房和城乡建设局</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distribute"/>
                              <w:textAlignment w:val="auto"/>
                              <w:rPr>
                                <w:rFonts w:hint="default" w:ascii="Times New Roman" w:hAnsi="Times New Roman" w:eastAsia="楷体_GB2312" w:cs="Times New Roman"/>
                                <w:b/>
                                <w:bCs/>
                                <w:sz w:val="36"/>
                                <w:szCs w:val="36"/>
                              </w:rPr>
                            </w:pPr>
                            <w:r>
                              <w:rPr>
                                <w:rFonts w:hint="default" w:ascii="Times New Roman" w:hAnsi="Times New Roman" w:eastAsia="楷体_GB2312" w:cs="Times New Roman"/>
                                <w:b/>
                                <w:bCs/>
                                <w:sz w:val="36"/>
                                <w:szCs w:val="36"/>
                              </w:rPr>
                              <w:t>巴中市经济和信息化局</w:t>
                            </w:r>
                          </w:p>
                          <w:p>
                            <w:pPr>
                              <w:ind w:left="0" w:leftChars="0" w:firstLine="0" w:firstLineChars="0"/>
                              <w:jc w:val="distribute"/>
                            </w:pPr>
                            <w:r>
                              <w:rPr>
                                <w:rFonts w:hint="default" w:ascii="Times New Roman" w:hAnsi="Times New Roman" w:eastAsia="楷体_GB2312" w:cs="Times New Roman"/>
                                <w:b/>
                                <w:bCs/>
                                <w:sz w:val="36"/>
                                <w:szCs w:val="36"/>
                              </w:rPr>
                              <w:t>巴中市农业农村局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4.8pt;margin-top:3.9pt;height:160.1pt;width:249.25pt;z-index:251659264;mso-width-relative:page;mso-height-relative:page;" fillcolor="#FFFFFF [3201]" filled="t" stroked="f" coordsize="21600,21600" o:gfxdata="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fJimV&#10;0wAAAAkBAAAPAAAAAAAAAAEAIAAAACIAAABkcnMvZG93bnJldi54bWxQSwECFAAUAAAACACHTuJA&#10;NTpiCF8CAACcBAAADgAAAAAAAAABACAAAAAiAQAAZHJzL2Uyb0RvYy54bWxQSwUGAAAAAAYABgBZ&#10;AQAA8w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distribute"/>
                        <w:textAlignment w:val="auto"/>
                        <w:rPr>
                          <w:rFonts w:hint="default" w:ascii="Times New Roman" w:hAnsi="Times New Roman" w:eastAsia="楷体_GB2312" w:cs="Times New Roman"/>
                          <w:b/>
                          <w:bCs/>
                          <w:sz w:val="36"/>
                          <w:szCs w:val="36"/>
                        </w:rPr>
                      </w:pPr>
                      <w:r>
                        <w:rPr>
                          <w:rFonts w:hint="default" w:ascii="Times New Roman" w:hAnsi="Times New Roman" w:eastAsia="楷体_GB2312" w:cs="Times New Roman"/>
                          <w:b/>
                          <w:bCs/>
                          <w:sz w:val="36"/>
                          <w:szCs w:val="36"/>
                        </w:rPr>
                        <w:t>巴中市发展</w:t>
                      </w:r>
                      <w:r>
                        <w:rPr>
                          <w:rFonts w:hint="default" w:ascii="Times New Roman" w:hAnsi="Times New Roman" w:eastAsia="楷体_GB2312" w:cs="Times New Roman"/>
                          <w:b/>
                          <w:bCs/>
                          <w:sz w:val="36"/>
                          <w:szCs w:val="36"/>
                          <w:lang w:eastAsia="zh-CN"/>
                        </w:rPr>
                        <w:t>和</w:t>
                      </w:r>
                      <w:r>
                        <w:rPr>
                          <w:rFonts w:hint="default" w:ascii="Times New Roman" w:hAnsi="Times New Roman" w:eastAsia="楷体_GB2312" w:cs="Times New Roman"/>
                          <w:b/>
                          <w:bCs/>
                          <w:sz w:val="36"/>
                          <w:szCs w:val="36"/>
                        </w:rPr>
                        <w:t>改革委员会</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distribute"/>
                        <w:textAlignment w:val="auto"/>
                        <w:rPr>
                          <w:rFonts w:hint="default" w:ascii="Times New Roman" w:hAnsi="Times New Roman" w:eastAsia="楷体_GB2312" w:cs="Times New Roman"/>
                          <w:b/>
                          <w:bCs/>
                          <w:sz w:val="36"/>
                          <w:szCs w:val="36"/>
                        </w:rPr>
                      </w:pPr>
                      <w:r>
                        <w:rPr>
                          <w:rFonts w:hint="default" w:ascii="Times New Roman" w:hAnsi="Times New Roman" w:eastAsia="楷体_GB2312" w:cs="Times New Roman"/>
                          <w:b/>
                          <w:bCs/>
                          <w:sz w:val="36"/>
                          <w:szCs w:val="36"/>
                        </w:rPr>
                        <w:t>巴中市水利局</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distribute"/>
                        <w:textAlignment w:val="auto"/>
                        <w:rPr>
                          <w:rFonts w:hint="default" w:ascii="Times New Roman" w:hAnsi="Times New Roman" w:eastAsia="楷体_GB2312" w:cs="Times New Roman"/>
                          <w:b/>
                          <w:bCs/>
                          <w:sz w:val="36"/>
                          <w:szCs w:val="36"/>
                        </w:rPr>
                      </w:pPr>
                      <w:r>
                        <w:rPr>
                          <w:rFonts w:hint="default" w:ascii="Times New Roman" w:hAnsi="Times New Roman" w:eastAsia="楷体_GB2312" w:cs="Times New Roman"/>
                          <w:b/>
                          <w:bCs/>
                          <w:sz w:val="36"/>
                          <w:szCs w:val="36"/>
                        </w:rPr>
                        <w:t>巴中市住房和城乡建设局</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distribute"/>
                        <w:textAlignment w:val="auto"/>
                        <w:rPr>
                          <w:rFonts w:hint="default" w:ascii="Times New Roman" w:hAnsi="Times New Roman" w:eastAsia="楷体_GB2312" w:cs="Times New Roman"/>
                          <w:b/>
                          <w:bCs/>
                          <w:sz w:val="36"/>
                          <w:szCs w:val="36"/>
                        </w:rPr>
                      </w:pPr>
                      <w:r>
                        <w:rPr>
                          <w:rFonts w:hint="default" w:ascii="Times New Roman" w:hAnsi="Times New Roman" w:eastAsia="楷体_GB2312" w:cs="Times New Roman"/>
                          <w:b/>
                          <w:bCs/>
                          <w:sz w:val="36"/>
                          <w:szCs w:val="36"/>
                        </w:rPr>
                        <w:t>巴中市经济和信息化局</w:t>
                      </w:r>
                    </w:p>
                    <w:p>
                      <w:pPr>
                        <w:ind w:left="0" w:leftChars="0" w:firstLine="0" w:firstLineChars="0"/>
                        <w:jc w:val="distribute"/>
                      </w:pPr>
                      <w:r>
                        <w:rPr>
                          <w:rFonts w:hint="default" w:ascii="Times New Roman" w:hAnsi="Times New Roman" w:eastAsia="楷体_GB2312" w:cs="Times New Roman"/>
                          <w:b/>
                          <w:bCs/>
                          <w:sz w:val="36"/>
                          <w:szCs w:val="36"/>
                        </w:rPr>
                        <w:t>巴中市农业农村局</w:t>
                      </w:r>
                    </w:p>
                  </w:txbxContent>
                </v:textbox>
              </v:shape>
            </w:pict>
          </mc:Fallback>
        </mc:AlternateContent>
      </w:r>
    </w:p>
    <w:p>
      <w:pPr>
        <w:pStyle w:val="2"/>
        <w:rPr>
          <w:rFonts w:hint="default"/>
        </w:rPr>
      </w:pPr>
    </w:p>
    <w:p>
      <w:pPr>
        <w:pStyle w:val="2"/>
        <w:rPr>
          <w:rFonts w:hint="default"/>
        </w:rPr>
      </w:pPr>
    </w:p>
    <w:p>
      <w:pPr>
        <w:pStyle w:val="2"/>
        <w:rPr>
          <w:rFonts w:hint="default"/>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default" w:ascii="Times New Roman" w:hAnsi="Times New Roman" w:eastAsia="楷体_GB2312" w:cs="Times New Roman"/>
          <w:b/>
          <w:bCs/>
          <w:sz w:val="36"/>
          <w:szCs w:val="36"/>
        </w:rPr>
      </w:pPr>
      <w:r>
        <w:rPr>
          <w:rFonts w:hint="default" w:ascii="Times New Roman" w:hAnsi="Times New Roman" w:eastAsia="楷体_GB2312" w:cs="Times New Roman"/>
          <w:b/>
          <w:bCs/>
          <w:sz w:val="36"/>
          <w:szCs w:val="36"/>
        </w:rPr>
        <w:t>2022年</w:t>
      </w:r>
      <w:r>
        <w:rPr>
          <w:rFonts w:hint="default" w:ascii="Times New Roman" w:hAnsi="Times New Roman" w:eastAsia="楷体_GB2312" w:cs="Times New Roman"/>
          <w:b/>
          <w:bCs/>
          <w:sz w:val="36"/>
          <w:szCs w:val="36"/>
          <w:lang w:val="en-US" w:eastAsia="zh-CN"/>
        </w:rPr>
        <w:t>5</w:t>
      </w:r>
      <w:r>
        <w:rPr>
          <w:rFonts w:hint="default" w:ascii="Times New Roman" w:hAnsi="Times New Roman" w:eastAsia="楷体_GB2312" w:cs="Times New Roman"/>
          <w:b/>
          <w:bCs/>
          <w:sz w:val="36"/>
          <w:szCs w:val="36"/>
        </w:rPr>
        <w:t>月</w:t>
      </w:r>
    </w:p>
    <w:p>
      <w:pPr>
        <w:snapToGrid w:val="0"/>
        <w:ind w:firstLine="0" w:firstLineChars="0"/>
        <w:jc w:val="center"/>
        <w:rPr>
          <w:rFonts w:hint="default" w:ascii="Times New Roman" w:hAnsi="Times New Roman" w:eastAsia="方正大标宋简体" w:cs="Times New Roman"/>
          <w:sz w:val="36"/>
          <w:szCs w:val="36"/>
        </w:rPr>
        <w:sectPr>
          <w:headerReference r:id="rId5" w:type="default"/>
          <w:footerReference r:id="rId6" w:type="default"/>
          <w:footerReference r:id="rId7" w:type="even"/>
          <w:pgSz w:w="11906" w:h="16838"/>
          <w:pgMar w:top="2098" w:right="1474" w:bottom="1984" w:left="1588" w:header="851" w:footer="992" w:gutter="0"/>
          <w:pgNumType w:start="1"/>
          <w:cols w:space="425" w:num="1"/>
          <w:docGrid w:type="lines" w:linePitch="312" w:charSpace="0"/>
        </w:sect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pPr>
    </w:p>
    <w:p>
      <w:pPr>
        <w:snapToGrid w:val="0"/>
        <w:ind w:firstLine="0" w:firstLineChars="0"/>
        <w:jc w:val="center"/>
        <w:rPr>
          <w:rFonts w:hint="default" w:ascii="Times New Roman" w:hAnsi="Times New Roman" w:eastAsia="方正大标宋简体" w:cs="Times New Roman"/>
          <w:sz w:val="36"/>
          <w:szCs w:val="36"/>
        </w:rPr>
        <w:sectPr>
          <w:footerReference r:id="rId8" w:type="default"/>
          <w:pgSz w:w="11906" w:h="16838"/>
          <w:pgMar w:top="2098" w:right="1474" w:bottom="1984" w:left="1588" w:header="851" w:footer="992" w:gutter="0"/>
          <w:pgNumType w:start="1"/>
          <w:cols w:space="425" w:num="1"/>
          <w:docGrid w:type="lines" w:linePitch="312" w:charSpace="0"/>
        </w:sectPr>
      </w:pPr>
    </w:p>
    <w:p>
      <w:pPr>
        <w:pStyle w:val="2"/>
        <w:rPr>
          <w:rFonts w:hint="default"/>
        </w:rPr>
      </w:pPr>
    </w:p>
    <w:p>
      <w:pPr>
        <w:snapToGrid w:val="0"/>
        <w:ind w:firstLine="0" w:firstLineChars="0"/>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目  录</w:t>
      </w:r>
    </w:p>
    <w:sdt>
      <w:sdtPr>
        <w:rPr>
          <w:rFonts w:hint="default" w:ascii="Times New Roman" w:hAnsi="Times New Roman" w:eastAsia="宋体" w:cs="Times New Roman"/>
          <w:b/>
          <w:bCs/>
          <w:sz w:val="21"/>
        </w:rPr>
        <w:id w:val="147457377"/>
        <w:docPartObj>
          <w:docPartGallery w:val="Table of Contents"/>
          <w:docPartUnique/>
        </w:docPartObj>
      </w:sdtPr>
      <w:sdtEndPr>
        <w:rPr>
          <w:rFonts w:hint="default" w:ascii="Times New Roman" w:hAnsi="Times New Roman" w:eastAsia="宋体" w:cs="Times New Roman"/>
          <w:b/>
          <w:bCs/>
          <w:sz w:val="21"/>
        </w:rPr>
      </w:sdtEndPr>
      <w:sdtContent>
        <w:p>
          <w:pPr>
            <w:spacing w:line="240" w:lineRule="auto"/>
            <w:ind w:firstLine="0" w:firstLineChars="0"/>
            <w:jc w:val="center"/>
            <w:rPr>
              <w:rFonts w:hint="default" w:ascii="Times New Roman" w:hAnsi="Times New Roman" w:cs="Times New Roman"/>
            </w:rPr>
          </w:pPr>
          <w:bookmarkStart w:id="0" w:name="_Toc80693602"/>
        </w:p>
        <w:p>
          <w:pPr>
            <w:pStyle w:val="13"/>
            <w:tabs>
              <w:tab w:val="right" w:leader="dot" w:pos="8844"/>
            </w:tabs>
            <w:ind w:firstLine="640"/>
            <w:rPr>
              <w:rFonts w:hint="default" w:ascii="Times New Roman" w:hAnsi="Times New Roman" w:cs="Times New Roman"/>
            </w:rPr>
          </w:pPr>
          <w:r>
            <w:rPr>
              <w:rFonts w:hint="default" w:ascii="Times New Roman" w:hAnsi="Times New Roman" w:eastAsia="黑体" w:cs="Times New Roman"/>
              <w:sz w:val="36"/>
              <w:szCs w:val="36"/>
            </w:rPr>
            <w:fldChar w:fldCharType="begin"/>
          </w:r>
          <w:r>
            <w:rPr>
              <w:rFonts w:hint="default" w:ascii="Times New Roman" w:hAnsi="Times New Roman" w:eastAsia="黑体" w:cs="Times New Roman"/>
              <w:sz w:val="36"/>
              <w:szCs w:val="36"/>
            </w:rPr>
            <w:instrText xml:space="preserve">TOC \o "1-2" \h \u </w:instrText>
          </w:r>
          <w:r>
            <w:rPr>
              <w:rFonts w:hint="default" w:ascii="Times New Roman" w:hAnsi="Times New Roman" w:eastAsia="黑体" w:cs="Times New Roman"/>
              <w:sz w:val="36"/>
              <w:szCs w:val="36"/>
            </w:rPr>
            <w:fldChar w:fldCharType="separate"/>
          </w: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_Toc9379 </w:instrText>
          </w:r>
          <w:r>
            <w:rPr>
              <w:rFonts w:hint="default" w:ascii="Times New Roman" w:hAnsi="Times New Roman" w:eastAsia="黑体" w:cs="Times New Roman"/>
              <w:bCs w:val="0"/>
              <w:szCs w:val="36"/>
            </w:rPr>
            <w:fldChar w:fldCharType="separate"/>
          </w:r>
          <w:r>
            <w:rPr>
              <w:rFonts w:hint="default" w:ascii="Times New Roman" w:hAnsi="Times New Roman" w:eastAsia="黑体" w:cs="Times New Roman"/>
              <w:bCs w:val="0"/>
              <w:szCs w:val="36"/>
            </w:rPr>
            <w:t>前  言</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_Toc9379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3"/>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_Toc9811 </w:instrText>
          </w:r>
          <w:r>
            <w:rPr>
              <w:rFonts w:hint="default" w:ascii="Times New Roman" w:hAnsi="Times New Roman" w:eastAsia="黑体" w:cs="Times New Roman"/>
              <w:bCs w:val="0"/>
              <w:szCs w:val="36"/>
            </w:rPr>
            <w:fldChar w:fldCharType="separate"/>
          </w:r>
          <w:r>
            <w:rPr>
              <w:rFonts w:hint="default" w:ascii="Times New Roman" w:hAnsi="Times New Roman" w:eastAsia="黑体" w:cs="Times New Roman"/>
              <w:bCs w:val="0"/>
              <w:szCs w:val="36"/>
            </w:rPr>
            <w:t>一、规划背景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_Toc9811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_Toc28303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（一）节水成效</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_Toc28303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_Toc23398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（二）存在问题</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_Toc23398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_Toc31730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（三）形势要求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_Toc31730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3"/>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_Toc32266 </w:instrText>
          </w:r>
          <w:r>
            <w:rPr>
              <w:rFonts w:hint="default" w:ascii="Times New Roman" w:hAnsi="Times New Roman" w:eastAsia="黑体" w:cs="Times New Roman"/>
              <w:bCs w:val="0"/>
              <w:szCs w:val="36"/>
            </w:rPr>
            <w:fldChar w:fldCharType="separate"/>
          </w:r>
          <w:r>
            <w:rPr>
              <w:rFonts w:hint="default" w:ascii="Times New Roman" w:hAnsi="Times New Roman" w:eastAsia="黑体" w:cs="Times New Roman"/>
              <w:bCs w:val="0"/>
              <w:szCs w:val="36"/>
            </w:rPr>
            <w:t>二、总体要求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_Toc32266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_Toc16830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（一）指导思想</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_Toc16830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_Toc31001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（二）基本原则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_Toc31001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_Toc27218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（三）规划目标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_Toc27218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3"/>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_Toc13502 </w:instrText>
          </w:r>
          <w:r>
            <w:rPr>
              <w:rFonts w:hint="default" w:ascii="Times New Roman" w:hAnsi="Times New Roman" w:eastAsia="黑体" w:cs="Times New Roman"/>
              <w:bCs w:val="0"/>
              <w:szCs w:val="36"/>
            </w:rPr>
            <w:fldChar w:fldCharType="separate"/>
          </w:r>
          <w:r>
            <w:rPr>
              <w:rFonts w:hint="default" w:ascii="Times New Roman" w:hAnsi="Times New Roman" w:eastAsia="黑体" w:cs="Times New Roman"/>
              <w:bCs w:val="0"/>
              <w:szCs w:val="36"/>
            </w:rPr>
            <w:t>三、重点任务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_Toc13502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_Toc3940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（一）提升节水意识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_Toc3940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_Toc21794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（二）强化刚性约束</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_Toc21794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_Toc3968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（三）补齐设施短板</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_Toc3968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_Toc27228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（四）强化科技引领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_Toc27228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_Toc20670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（五）健全市场机制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_Toc20670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3"/>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_Toc13667 </w:instrText>
          </w:r>
          <w:r>
            <w:rPr>
              <w:rFonts w:hint="default" w:ascii="Times New Roman" w:hAnsi="Times New Roman" w:eastAsia="黑体" w:cs="Times New Roman"/>
              <w:bCs w:val="0"/>
              <w:szCs w:val="36"/>
            </w:rPr>
            <w:fldChar w:fldCharType="separate"/>
          </w:r>
          <w:r>
            <w:rPr>
              <w:rFonts w:hint="default" w:ascii="Times New Roman" w:hAnsi="Times New Roman" w:eastAsia="黑体" w:cs="Times New Roman"/>
              <w:bCs w:val="0"/>
              <w:szCs w:val="36"/>
            </w:rPr>
            <w:t>四、重点领域</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_Toc13667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_Toc2567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（一）农业农村节水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_Toc2567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_Toc26259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（二）工业节水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_Toc26259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_Toc23286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（三）城镇节水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_Toc23286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eastAsia="黑体" w:cs="Times New Roman"/>
              <w:bCs w:val="0"/>
              <w:color w:val="auto"/>
              <w:szCs w:val="36"/>
            </w:rPr>
            <w:sectPr>
              <w:footerReference r:id="rId9" w:type="default"/>
              <w:pgSz w:w="11906" w:h="16838"/>
              <w:pgMar w:top="2098" w:right="1474" w:bottom="1984" w:left="1588" w:header="851" w:footer="992" w:gutter="0"/>
              <w:pgNumType w:start="1"/>
              <w:cols w:space="425" w:num="1"/>
              <w:docGrid w:type="lines" w:linePitch="312" w:charSpace="0"/>
            </w:sectPr>
          </w:pP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_Toc21346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（四）非常规水源利用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_Toc21346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_Toc20050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（五）节水型社会达标建设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_Toc20050 \h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_Toc16922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（六）信息化建设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_Toc16922 \h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3"/>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_Toc17769 </w:instrText>
          </w:r>
          <w:r>
            <w:rPr>
              <w:rFonts w:hint="default" w:ascii="Times New Roman" w:hAnsi="Times New Roman" w:eastAsia="黑体" w:cs="Times New Roman"/>
              <w:bCs w:val="0"/>
              <w:szCs w:val="36"/>
            </w:rPr>
            <w:fldChar w:fldCharType="separate"/>
          </w:r>
          <w:r>
            <w:rPr>
              <w:rFonts w:hint="default" w:ascii="Times New Roman" w:hAnsi="Times New Roman" w:eastAsia="黑体" w:cs="Times New Roman"/>
              <w:bCs w:val="0"/>
              <w:szCs w:val="36"/>
            </w:rPr>
            <w:t>五、重点节水工程规划</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_Toc17769 \h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_Toc14902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（一） 农业节水工程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_Toc14902 \h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_Toc20367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（二）工业节水工程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_Toc20367 \h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_Toc9337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（三）城镇生活节水工程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_Toc9337 \h </w:instrText>
          </w:r>
          <w:r>
            <w:rPr>
              <w:rFonts w:hint="default" w:ascii="Times New Roman" w:hAnsi="Times New Roman" w:cs="Times New Roman"/>
            </w:rPr>
            <w:fldChar w:fldCharType="separate"/>
          </w:r>
          <w:r>
            <w:rPr>
              <w:rFonts w:hint="default" w:ascii="Times New Roman" w:hAnsi="Times New Roman" w:cs="Times New Roman"/>
            </w:rPr>
            <w:t>38</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_Toc22092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（四）非常规水资源利用工程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_Toc22092 \h </w:instrText>
          </w:r>
          <w:r>
            <w:rPr>
              <w:rFonts w:hint="default" w:ascii="Times New Roman" w:hAnsi="Times New Roman" w:cs="Times New Roman"/>
            </w:rPr>
            <w:fldChar w:fldCharType="separate"/>
          </w:r>
          <w:r>
            <w:rPr>
              <w:rFonts w:hint="default" w:ascii="Times New Roman" w:hAnsi="Times New Roman" w:cs="Times New Roman"/>
            </w:rPr>
            <w:t>42</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3"/>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_Toc8400 </w:instrText>
          </w:r>
          <w:r>
            <w:rPr>
              <w:rFonts w:hint="default" w:ascii="Times New Roman" w:hAnsi="Times New Roman" w:eastAsia="黑体" w:cs="Times New Roman"/>
              <w:bCs w:val="0"/>
              <w:szCs w:val="36"/>
            </w:rPr>
            <w:fldChar w:fldCharType="separate"/>
          </w:r>
          <w:r>
            <w:rPr>
              <w:rFonts w:hint="default" w:ascii="Times New Roman" w:hAnsi="Times New Roman" w:eastAsia="黑体" w:cs="Times New Roman"/>
              <w:bCs w:val="0"/>
              <w:szCs w:val="36"/>
            </w:rPr>
            <w:t>六、投资估算与资金筹措</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_Toc8400 \h </w:instrText>
          </w:r>
          <w:r>
            <w:rPr>
              <w:rFonts w:hint="default" w:ascii="Times New Roman" w:hAnsi="Times New Roman" w:cs="Times New Roman"/>
            </w:rPr>
            <w:fldChar w:fldCharType="separate"/>
          </w:r>
          <w:r>
            <w:rPr>
              <w:rFonts w:hint="default" w:ascii="Times New Roman" w:hAnsi="Times New Roman" w:cs="Times New Roman"/>
            </w:rPr>
            <w:t>52</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_Toc3132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（一）投资估算</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_Toc3132 \h </w:instrText>
          </w:r>
          <w:r>
            <w:rPr>
              <w:rFonts w:hint="default" w:ascii="Times New Roman" w:hAnsi="Times New Roman" w:cs="Times New Roman"/>
            </w:rPr>
            <w:fldChar w:fldCharType="separate"/>
          </w:r>
          <w:r>
            <w:rPr>
              <w:rFonts w:hint="default" w:ascii="Times New Roman" w:hAnsi="Times New Roman" w:cs="Times New Roman"/>
            </w:rPr>
            <w:t>52</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_Toc26693 </w:instrText>
          </w:r>
          <w:r>
            <w:rPr>
              <w:rFonts w:hint="default" w:ascii="Times New Roman" w:hAnsi="Times New Roman" w:eastAsia="黑体" w:cs="Times New Roman"/>
              <w:bCs w:val="0"/>
              <w:szCs w:val="36"/>
            </w:rPr>
            <w:fldChar w:fldCharType="separate"/>
          </w:r>
          <w:r>
            <w:rPr>
              <w:rFonts w:hint="default" w:ascii="Times New Roman" w:hAnsi="Times New Roman" w:eastAsia="仿宋" w:cs="Times New Roman"/>
            </w:rPr>
            <w:t>（二）资金筹措</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_Toc26693 \h </w:instrText>
          </w:r>
          <w:r>
            <w:rPr>
              <w:rFonts w:hint="default" w:ascii="Times New Roman" w:hAnsi="Times New Roman" w:cs="Times New Roman"/>
            </w:rPr>
            <w:fldChar w:fldCharType="separate"/>
          </w:r>
          <w:r>
            <w:rPr>
              <w:rFonts w:hint="default" w:ascii="Times New Roman" w:hAnsi="Times New Roman" w:cs="Times New Roman"/>
            </w:rPr>
            <w:t>53</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3"/>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_Toc15279 </w:instrText>
          </w:r>
          <w:r>
            <w:rPr>
              <w:rFonts w:hint="default" w:ascii="Times New Roman" w:hAnsi="Times New Roman" w:eastAsia="黑体" w:cs="Times New Roman"/>
              <w:bCs w:val="0"/>
              <w:szCs w:val="36"/>
            </w:rPr>
            <w:fldChar w:fldCharType="separate"/>
          </w:r>
          <w:r>
            <w:rPr>
              <w:rFonts w:hint="default" w:ascii="Times New Roman" w:hAnsi="Times New Roman" w:eastAsia="黑体" w:cs="Times New Roman"/>
              <w:bCs w:val="0"/>
              <w:szCs w:val="36"/>
            </w:rPr>
            <w:t>七、环境影响分析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_Toc15279 \h </w:instrText>
          </w:r>
          <w:r>
            <w:rPr>
              <w:rFonts w:hint="default" w:ascii="Times New Roman" w:hAnsi="Times New Roman" w:cs="Times New Roman"/>
            </w:rPr>
            <w:fldChar w:fldCharType="separate"/>
          </w:r>
          <w:r>
            <w:rPr>
              <w:rFonts w:hint="default" w:ascii="Times New Roman" w:hAnsi="Times New Roman" w:cs="Times New Roman"/>
            </w:rPr>
            <w:t>55</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_Toc910 </w:instrText>
          </w:r>
          <w:r>
            <w:rPr>
              <w:rFonts w:hint="default" w:ascii="Times New Roman" w:hAnsi="Times New Roman" w:eastAsia="黑体" w:cs="Times New Roman"/>
              <w:bCs w:val="0"/>
              <w:szCs w:val="36"/>
            </w:rPr>
            <w:fldChar w:fldCharType="separate"/>
          </w:r>
          <w:r>
            <w:rPr>
              <w:rFonts w:hint="default" w:ascii="Times New Roman" w:hAnsi="Times New Roman" w:cs="Times New Roman"/>
            </w:rPr>
            <w:t>（一）有利影响</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_Toc910 \h </w:instrText>
          </w:r>
          <w:r>
            <w:rPr>
              <w:rFonts w:hint="default" w:ascii="Times New Roman" w:hAnsi="Times New Roman" w:cs="Times New Roman"/>
            </w:rPr>
            <w:fldChar w:fldCharType="separate"/>
          </w:r>
          <w:r>
            <w:rPr>
              <w:rFonts w:hint="default" w:ascii="Times New Roman" w:hAnsi="Times New Roman" w:cs="Times New Roman"/>
            </w:rPr>
            <w:t>55</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_Toc15244 </w:instrText>
          </w:r>
          <w:r>
            <w:rPr>
              <w:rFonts w:hint="default" w:ascii="Times New Roman" w:hAnsi="Times New Roman" w:eastAsia="黑体" w:cs="Times New Roman"/>
              <w:bCs w:val="0"/>
              <w:szCs w:val="36"/>
            </w:rPr>
            <w:fldChar w:fldCharType="separate"/>
          </w:r>
          <w:r>
            <w:rPr>
              <w:rFonts w:hint="default" w:ascii="Times New Roman" w:hAnsi="Times New Roman" w:cs="Times New Roman"/>
            </w:rPr>
            <w:t>（二）不利影响</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_Toc15244 \h </w:instrText>
          </w:r>
          <w:r>
            <w:rPr>
              <w:rFonts w:hint="default" w:ascii="Times New Roman" w:hAnsi="Times New Roman" w:cs="Times New Roman"/>
            </w:rPr>
            <w:fldChar w:fldCharType="separate"/>
          </w:r>
          <w:r>
            <w:rPr>
              <w:rFonts w:hint="default" w:ascii="Times New Roman" w:hAnsi="Times New Roman" w:cs="Times New Roman"/>
            </w:rPr>
            <w:t>56</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_Toc8949 </w:instrText>
          </w:r>
          <w:r>
            <w:rPr>
              <w:rFonts w:hint="default" w:ascii="Times New Roman" w:hAnsi="Times New Roman" w:eastAsia="黑体" w:cs="Times New Roman"/>
              <w:bCs w:val="0"/>
              <w:szCs w:val="36"/>
            </w:rPr>
            <w:fldChar w:fldCharType="separate"/>
          </w:r>
          <w:r>
            <w:rPr>
              <w:rFonts w:hint="default" w:ascii="Times New Roman" w:hAnsi="Times New Roman" w:cs="Times New Roman"/>
            </w:rPr>
            <w:t>（三）减免不利影响的对策措施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_Toc8949 \h </w:instrText>
          </w:r>
          <w:r>
            <w:rPr>
              <w:rFonts w:hint="default" w:ascii="Times New Roman" w:hAnsi="Times New Roman" w:cs="Times New Roman"/>
            </w:rPr>
            <w:fldChar w:fldCharType="separate"/>
          </w:r>
          <w:r>
            <w:rPr>
              <w:rFonts w:hint="default" w:ascii="Times New Roman" w:hAnsi="Times New Roman" w:cs="Times New Roman"/>
            </w:rPr>
            <w:t>57</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3"/>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_Toc17410 </w:instrText>
          </w:r>
          <w:r>
            <w:rPr>
              <w:rFonts w:hint="default" w:ascii="Times New Roman" w:hAnsi="Times New Roman" w:eastAsia="黑体" w:cs="Times New Roman"/>
              <w:bCs w:val="0"/>
              <w:szCs w:val="36"/>
            </w:rPr>
            <w:fldChar w:fldCharType="separate"/>
          </w:r>
          <w:r>
            <w:rPr>
              <w:rFonts w:hint="default" w:ascii="Times New Roman" w:hAnsi="Times New Roman" w:eastAsia="黑体" w:cs="Times New Roman"/>
              <w:bCs w:val="0"/>
              <w:szCs w:val="36"/>
            </w:rPr>
            <w:t>八、保障措施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_Toc17410 \h </w:instrText>
          </w:r>
          <w:r>
            <w:rPr>
              <w:rFonts w:hint="default" w:ascii="Times New Roman" w:hAnsi="Times New Roman" w:cs="Times New Roman"/>
            </w:rPr>
            <w:fldChar w:fldCharType="separate"/>
          </w:r>
          <w:r>
            <w:rPr>
              <w:rFonts w:hint="default" w:ascii="Times New Roman" w:hAnsi="Times New Roman" w:cs="Times New Roman"/>
            </w:rPr>
            <w:t>58</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_Toc2738 </w:instrText>
          </w:r>
          <w:r>
            <w:rPr>
              <w:rFonts w:hint="default" w:ascii="Times New Roman" w:hAnsi="Times New Roman" w:eastAsia="黑体" w:cs="Times New Roman"/>
              <w:bCs w:val="0"/>
              <w:szCs w:val="36"/>
            </w:rPr>
            <w:fldChar w:fldCharType="separate"/>
          </w:r>
          <w:r>
            <w:rPr>
              <w:rFonts w:hint="default" w:ascii="Times New Roman" w:hAnsi="Times New Roman" w:cs="Times New Roman"/>
            </w:rPr>
            <w:t>（一）加强组织领导</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_Toc2738 \h </w:instrText>
          </w:r>
          <w:r>
            <w:rPr>
              <w:rFonts w:hint="default" w:ascii="Times New Roman" w:hAnsi="Times New Roman" w:cs="Times New Roman"/>
            </w:rPr>
            <w:fldChar w:fldCharType="separate"/>
          </w:r>
          <w:r>
            <w:rPr>
              <w:rFonts w:hint="default" w:ascii="Times New Roman" w:hAnsi="Times New Roman" w:cs="Times New Roman"/>
            </w:rPr>
            <w:t>58</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_Toc27148 </w:instrText>
          </w:r>
          <w:r>
            <w:rPr>
              <w:rFonts w:hint="default" w:ascii="Times New Roman" w:hAnsi="Times New Roman" w:eastAsia="黑体" w:cs="Times New Roman"/>
              <w:bCs w:val="0"/>
              <w:szCs w:val="36"/>
            </w:rPr>
            <w:fldChar w:fldCharType="separate"/>
          </w:r>
          <w:r>
            <w:rPr>
              <w:rFonts w:hint="default" w:ascii="Times New Roman" w:hAnsi="Times New Roman" w:cs="Times New Roman"/>
            </w:rPr>
            <w:t>（二）完善资金投入机制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_Toc27148 \h </w:instrText>
          </w:r>
          <w:r>
            <w:rPr>
              <w:rFonts w:hint="default" w:ascii="Times New Roman" w:hAnsi="Times New Roman" w:cs="Times New Roman"/>
            </w:rPr>
            <w:fldChar w:fldCharType="separate"/>
          </w:r>
          <w:r>
            <w:rPr>
              <w:rFonts w:hint="default" w:ascii="Times New Roman" w:hAnsi="Times New Roman" w:cs="Times New Roman"/>
            </w:rPr>
            <w:t>59</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_Toc24305 </w:instrText>
          </w:r>
          <w:r>
            <w:rPr>
              <w:rFonts w:hint="default" w:ascii="Times New Roman" w:hAnsi="Times New Roman" w:eastAsia="黑体" w:cs="Times New Roman"/>
              <w:bCs w:val="0"/>
              <w:szCs w:val="36"/>
            </w:rPr>
            <w:fldChar w:fldCharType="separate"/>
          </w:r>
          <w:r>
            <w:rPr>
              <w:rFonts w:hint="default" w:ascii="Times New Roman" w:hAnsi="Times New Roman" w:cs="Times New Roman"/>
            </w:rPr>
            <w:t>（三）强化监督考核</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_Toc24305 \h </w:instrText>
          </w:r>
          <w:r>
            <w:rPr>
              <w:rFonts w:hint="default" w:ascii="Times New Roman" w:hAnsi="Times New Roman" w:cs="Times New Roman"/>
            </w:rPr>
            <w:fldChar w:fldCharType="separate"/>
          </w:r>
          <w:r>
            <w:rPr>
              <w:rFonts w:hint="default" w:ascii="Times New Roman" w:hAnsi="Times New Roman" w:cs="Times New Roman"/>
            </w:rPr>
            <w:t>60</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14"/>
            <w:tabs>
              <w:tab w:val="right" w:leader="dot" w:pos="8844"/>
            </w:tabs>
            <w:rPr>
              <w:rFonts w:hint="default" w:ascii="Times New Roman" w:hAnsi="Times New Roman" w:cs="Times New Roman"/>
            </w:rPr>
          </w:pPr>
          <w:r>
            <w:rPr>
              <w:rFonts w:hint="default" w:ascii="Times New Roman" w:hAnsi="Times New Roman" w:eastAsia="黑体" w:cs="Times New Roman"/>
              <w:bCs w:val="0"/>
              <w:color w:val="auto"/>
              <w:szCs w:val="36"/>
            </w:rPr>
            <w:fldChar w:fldCharType="begin"/>
          </w:r>
          <w:r>
            <w:rPr>
              <w:rFonts w:hint="default" w:ascii="Times New Roman" w:hAnsi="Times New Roman" w:eastAsia="黑体" w:cs="Times New Roman"/>
              <w:bCs w:val="0"/>
              <w:szCs w:val="36"/>
            </w:rPr>
            <w:instrText xml:space="preserve"> HYPERLINK \l _Toc32727 </w:instrText>
          </w:r>
          <w:r>
            <w:rPr>
              <w:rFonts w:hint="default" w:ascii="Times New Roman" w:hAnsi="Times New Roman" w:eastAsia="黑体" w:cs="Times New Roman"/>
              <w:bCs w:val="0"/>
              <w:szCs w:val="36"/>
            </w:rPr>
            <w:fldChar w:fldCharType="separate"/>
          </w:r>
          <w:r>
            <w:rPr>
              <w:rFonts w:hint="default" w:ascii="Times New Roman" w:hAnsi="Times New Roman" w:cs="Times New Roman"/>
            </w:rPr>
            <w:t>（四）提升技术保障水平</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_Toc32727 \h </w:instrText>
          </w:r>
          <w:r>
            <w:rPr>
              <w:rFonts w:hint="default" w:ascii="Times New Roman" w:hAnsi="Times New Roman" w:cs="Times New Roman"/>
            </w:rPr>
            <w:fldChar w:fldCharType="separate"/>
          </w:r>
          <w:r>
            <w:rPr>
              <w:rFonts w:hint="default" w:ascii="Times New Roman" w:hAnsi="Times New Roman" w:cs="Times New Roman"/>
            </w:rPr>
            <w:t>60</w:t>
          </w:r>
          <w:r>
            <w:rPr>
              <w:rFonts w:hint="default" w:ascii="Times New Roman" w:hAnsi="Times New Roman" w:cs="Times New Roman"/>
            </w:rPr>
            <w:fldChar w:fldCharType="end"/>
          </w:r>
          <w:r>
            <w:rPr>
              <w:rFonts w:hint="default" w:ascii="Times New Roman" w:hAnsi="Times New Roman" w:eastAsia="黑体" w:cs="Times New Roman"/>
              <w:bCs w:val="0"/>
              <w:color w:val="auto"/>
              <w:szCs w:val="36"/>
            </w:rPr>
            <w:fldChar w:fldCharType="end"/>
          </w:r>
        </w:p>
        <w:p>
          <w:pPr>
            <w:pStyle w:val="4"/>
            <w:snapToGrid w:val="0"/>
            <w:spacing w:before="156" w:beforeLines="50" w:after="156" w:afterLines="50" w:line="580" w:lineRule="exact"/>
            <w:jc w:val="center"/>
            <w:rPr>
              <w:rFonts w:hint="default" w:ascii="Times New Roman" w:hAnsi="Times New Roman" w:eastAsia="黑体" w:cs="Times New Roman"/>
              <w:b w:val="0"/>
              <w:bCs w:val="0"/>
              <w:color w:val="auto"/>
              <w:sz w:val="36"/>
              <w:szCs w:val="36"/>
            </w:rPr>
            <w:sectPr>
              <w:footerReference r:id="rId10" w:type="default"/>
              <w:pgSz w:w="11906" w:h="16838"/>
              <w:pgMar w:top="2098" w:right="1474" w:bottom="1984" w:left="1588" w:header="851" w:footer="992" w:gutter="0"/>
              <w:pgNumType w:start="1"/>
              <w:cols w:space="425" w:num="1"/>
              <w:docGrid w:type="lines" w:linePitch="312" w:charSpace="0"/>
            </w:sectPr>
          </w:pPr>
          <w:r>
            <w:rPr>
              <w:rFonts w:hint="default" w:ascii="Times New Roman" w:hAnsi="Times New Roman" w:eastAsia="黑体" w:cs="Times New Roman"/>
              <w:bCs w:val="0"/>
              <w:color w:val="auto"/>
              <w:szCs w:val="36"/>
            </w:rPr>
            <w:fldChar w:fldCharType="end"/>
          </w:r>
        </w:p>
      </w:sdtContent>
    </w:sdt>
    <w:p>
      <w:pPr>
        <w:pStyle w:val="4"/>
        <w:snapToGrid w:val="0"/>
        <w:spacing w:before="156" w:beforeLines="50" w:after="156" w:afterLines="50" w:line="580" w:lineRule="exact"/>
        <w:jc w:val="center"/>
        <w:rPr>
          <w:rFonts w:hint="default" w:ascii="Times New Roman" w:hAnsi="Times New Roman" w:eastAsia="方正小标宋_GBK" w:cs="Times New Roman"/>
          <w:b w:val="0"/>
          <w:bCs w:val="0"/>
          <w:color w:val="auto"/>
          <w:sz w:val="36"/>
          <w:szCs w:val="36"/>
        </w:rPr>
      </w:pPr>
      <w:bookmarkStart w:id="1" w:name="_Toc30864"/>
      <w:bookmarkStart w:id="2" w:name="_Toc28202"/>
      <w:bookmarkStart w:id="3" w:name="_Toc100673796"/>
      <w:bookmarkStart w:id="4" w:name="_Toc28495"/>
      <w:bookmarkStart w:id="5" w:name="_Toc9379"/>
      <w:bookmarkStart w:id="6" w:name="_Toc17202"/>
      <w:r>
        <w:rPr>
          <w:rFonts w:hint="default" w:ascii="Times New Roman" w:hAnsi="Times New Roman" w:eastAsia="方正小标宋_GBK" w:cs="Times New Roman"/>
          <w:b w:val="0"/>
          <w:bCs w:val="0"/>
          <w:color w:val="auto"/>
          <w:sz w:val="36"/>
          <w:szCs w:val="36"/>
        </w:rPr>
        <w:t>前  言</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水是生命之源、生产之要、生态</w:t>
      </w:r>
      <w:bookmarkStart w:id="311" w:name="_GoBack"/>
      <w:bookmarkEnd w:id="311"/>
      <w:r>
        <w:rPr>
          <w:rFonts w:hint="default" w:ascii="Times New Roman" w:hAnsi="Times New Roman" w:eastAsia="仿宋_GB2312" w:cs="Times New Roman"/>
          <w:sz w:val="32"/>
          <w:szCs w:val="32"/>
        </w:rPr>
        <w:t>之基。巴中市多年平均水资源总量为72.59亿m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，人均占有水资源量2600m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bidi="ar"/>
        </w:rPr>
        <w:t>低于全省人均水资源量。</w:t>
      </w:r>
      <w:r>
        <w:rPr>
          <w:rFonts w:hint="default" w:ascii="Times New Roman" w:hAnsi="Times New Roman" w:eastAsia="仿宋_GB2312" w:cs="Times New Roman"/>
          <w:sz w:val="32"/>
          <w:szCs w:val="32"/>
        </w:rPr>
        <w:t>巴中市目前的用水水平来看，万元GDP用水量（73.74m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/万元）、万元工业增加值用水量（30.3m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/万元）、农田灌溉水利用系数（0.476）等主要指标，较四川省平均水平还有差距，巴中市的水资源利用方式还较粗放，节水管理与节水技术还有待进一步提高。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节水是解决我国水资源短缺、水生态损害、水环境污染问题的重要举措，是生态文明建设的重要环节，是经济社会高质量发展的重要支撑。因此大力倡导节约用水，加快建设节水型社会，是解决巴中市水资源供需矛盾问题、保障水安全的必然选择。为推进全社会节水，形成节水型生产生活方式，巴中市组织编制了《巴中市节水型社会建设规划》（以下简称《规划》）。《规划》</w:t>
      </w:r>
      <w:r>
        <w:rPr>
          <w:rFonts w:hint="default" w:ascii="Times New Roman" w:hAnsi="Times New Roman" w:eastAsia="仿宋_GB2312" w:cs="Times New Roman"/>
          <w:spacing w:val="-11"/>
          <w:sz w:val="32"/>
          <w:szCs w:val="32"/>
        </w:rPr>
        <w:t>现状水平年为2020年，近期水平年为2025年，远期展望到2035年。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sectPr>
          <w:footerReference r:id="rId11" w:type="default"/>
          <w:footerReference r:id="rId12" w:type="even"/>
          <w:pgSz w:w="11906" w:h="16838"/>
          <w:pgMar w:top="2098" w:right="1474" w:bottom="1984" w:left="1588" w:header="851" w:footer="1361" w:gutter="0"/>
          <w:pgNumType w:start="1"/>
          <w:cols w:space="0" w:num="1"/>
          <w:rtlGutter w:val="0"/>
          <w:docGrid w:type="lines" w:linePitch="312" w:charSpace="0"/>
        </w:sectPr>
      </w:pPr>
      <w:r>
        <w:rPr>
          <w:rFonts w:hint="default" w:ascii="Times New Roman" w:hAnsi="Times New Roman" w:eastAsia="仿宋_GB2312" w:cs="Times New Roman"/>
          <w:sz w:val="32"/>
          <w:szCs w:val="32"/>
        </w:rPr>
        <w:t>《规划》以习近平新时代中国特色社会主义思想为指导，深入贯彻习近平生态文明思想，立足新发展阶段，完整、准确、全面贯彻新发展理念，构建新发展格局，贯彻落实习近平总书记提出的“节水优先、空间均衡、系统治理、两手发力”新时期治水思路，以实现水资源节约集约安全利用为目标，深入实施国家节水行动，以农业、工业和城镇生活节水为重点，以提高水的利用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率和效益为核心，以水资源统一管理制度为保障，加快形成节水</w:t>
      </w:r>
      <w:r>
        <w:rPr>
          <w:rFonts w:hint="default" w:ascii="Times New Roman" w:hAnsi="Times New Roman" w:eastAsia="仿宋_GB2312" w:cs="Times New Roman"/>
          <w:spacing w:val="-6"/>
          <w:sz w:val="32"/>
          <w:szCs w:val="32"/>
        </w:rPr>
        <w:t>型生产生活方式，全面建设节水型社会，推动经济社会高质量发展。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规划》在分析总结巴中市节水主要成效、节水现状、存在问题和面临形势的基础上，深入贯彻新时期治水思路和习近平生态文明思想，以国家及省级《“十四五”节水型社会建设规划》为参考，强化水资源刚性约束，进一步补齐节水设施短板，健全节水市场机制，提出了巴中市“十四五”及未来一段时间节水工作的重点领域、区域重点节水行动及保障措施。《规划》可作为巴中市推进节水工作的重要依据。</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仿宋_GB2312" w:cs="Times New Roman"/>
          <w:sz w:val="32"/>
          <w:szCs w:val="32"/>
        </w:rPr>
        <w:sectPr>
          <w:footerReference r:id="rId13" w:type="default"/>
          <w:pgSz w:w="11906" w:h="16838"/>
          <w:pgMar w:top="2098" w:right="1474" w:bottom="1984" w:left="1588" w:header="851" w:footer="1361" w:gutter="0"/>
          <w:pgNumType w:start="1"/>
          <w:cols w:space="0" w:num="1"/>
          <w:rtlGutter w:val="0"/>
          <w:docGrid w:type="lines" w:linePitch="312" w:charSpace="0"/>
        </w:sectPr>
      </w:pPr>
    </w:p>
    <w:p>
      <w:pPr>
        <w:pStyle w:val="4"/>
        <w:keepNext/>
        <w:keepLines/>
        <w:pageBreakBefore w:val="0"/>
        <w:widowControl w:val="0"/>
        <w:kinsoku/>
        <w:wordWrap/>
        <w:overflowPunct/>
        <w:topLinePunct w:val="0"/>
        <w:autoSpaceDE/>
        <w:autoSpaceDN/>
        <w:bidi w:val="0"/>
        <w:adjustRightInd/>
        <w:snapToGrid w:val="0"/>
        <w:spacing w:before="0" w:after="0" w:line="560" w:lineRule="exact"/>
        <w:ind w:firstLine="720" w:firstLineChars="200"/>
        <w:jc w:val="both"/>
        <w:textAlignment w:val="auto"/>
        <w:rPr>
          <w:rFonts w:hint="default" w:ascii="Times New Roman" w:hAnsi="Times New Roman" w:eastAsia="黑体" w:cs="Times New Roman"/>
          <w:b w:val="0"/>
          <w:bCs w:val="0"/>
          <w:color w:val="auto"/>
          <w:sz w:val="36"/>
          <w:szCs w:val="36"/>
        </w:rPr>
      </w:pPr>
      <w:bookmarkStart w:id="7" w:name="_Toc9811"/>
      <w:bookmarkStart w:id="8" w:name="_Toc10397"/>
      <w:bookmarkStart w:id="9" w:name="_Toc28949"/>
      <w:bookmarkStart w:id="10" w:name="_Toc9674"/>
      <w:bookmarkStart w:id="11" w:name="_Toc100673797"/>
      <w:bookmarkStart w:id="12" w:name="_Toc4673"/>
      <w:r>
        <w:rPr>
          <w:rFonts w:hint="default" w:ascii="Times New Roman" w:hAnsi="Times New Roman" w:eastAsia="黑体" w:cs="Times New Roman"/>
          <w:b w:val="0"/>
          <w:bCs w:val="0"/>
          <w:color w:val="auto"/>
          <w:sz w:val="36"/>
          <w:szCs w:val="36"/>
        </w:rPr>
        <w:t>一、规划背景</w:t>
      </w:r>
      <w:bookmarkEnd w:id="0"/>
      <w:bookmarkEnd w:id="7"/>
      <w:bookmarkEnd w:id="8"/>
      <w:bookmarkEnd w:id="9"/>
      <w:bookmarkEnd w:id="10"/>
      <w:bookmarkEnd w:id="11"/>
      <w:bookmarkEnd w:id="12"/>
    </w:p>
    <w:p>
      <w:pPr>
        <w:pStyle w:val="5"/>
        <w:keepNext/>
        <w:keepLines/>
        <w:pageBreakBefore w:val="0"/>
        <w:widowControl w:val="0"/>
        <w:kinsoku/>
        <w:wordWrap/>
        <w:overflowPunct/>
        <w:topLinePunct w:val="0"/>
        <w:autoSpaceDE/>
        <w:autoSpaceDN/>
        <w:bidi w:val="0"/>
        <w:adjustRightInd w:val="0"/>
        <w:snapToGrid/>
        <w:spacing w:line="560" w:lineRule="exact"/>
        <w:ind w:firstLine="643" w:firstLineChars="200"/>
        <w:jc w:val="both"/>
        <w:textAlignment w:val="auto"/>
        <w:rPr>
          <w:rFonts w:hint="default" w:ascii="Times New Roman" w:hAnsi="Times New Roman" w:eastAsia="楷体_GB2312" w:cs="Times New Roman"/>
          <w:color w:val="auto"/>
          <w:sz w:val="32"/>
          <w:szCs w:val="32"/>
        </w:rPr>
      </w:pPr>
      <w:bookmarkStart w:id="13" w:name="_Toc18449"/>
      <w:bookmarkStart w:id="14" w:name="_Toc22902"/>
      <w:bookmarkStart w:id="15" w:name="_Toc80693603"/>
      <w:bookmarkStart w:id="16" w:name="_Toc28303"/>
      <w:bookmarkStart w:id="17" w:name="_Toc100673798"/>
      <w:bookmarkStart w:id="18" w:name="_Toc13684"/>
      <w:bookmarkStart w:id="19" w:name="_Toc2328"/>
      <w:r>
        <w:rPr>
          <w:rFonts w:hint="default" w:ascii="Times New Roman" w:hAnsi="Times New Roman" w:eastAsia="楷体_GB2312" w:cs="Times New Roman"/>
          <w:color w:val="auto"/>
          <w:sz w:val="32"/>
          <w:szCs w:val="32"/>
        </w:rPr>
        <w:t>（一）节水成效</w:t>
      </w:r>
      <w:bookmarkEnd w:id="13"/>
      <w:bookmarkEnd w:id="14"/>
      <w:bookmarkEnd w:id="15"/>
      <w:bookmarkEnd w:id="16"/>
      <w:bookmarkEnd w:id="17"/>
      <w:bookmarkEnd w:id="18"/>
      <w:bookmarkEnd w:id="19"/>
    </w:p>
    <w:p>
      <w:pPr>
        <w:pStyle w:val="24"/>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bCs/>
          <w:sz w:val="32"/>
          <w:szCs w:val="32"/>
        </w:rPr>
        <w:t>一是圆满完成“十三五”节水指标目标。</w:t>
      </w:r>
      <w:r>
        <w:rPr>
          <w:rFonts w:hint="default" w:ascii="Times New Roman" w:hAnsi="Times New Roman" w:eastAsia="仿宋_GB2312" w:cs="Times New Roman"/>
          <w:b w:val="0"/>
          <w:sz w:val="32"/>
          <w:szCs w:val="32"/>
        </w:rPr>
        <w:t>2020年，巴中市水利局联合发改委等16个部门建立了节约用水工作联席会议机制；印发了《巴中市节水行动实施方案》（巴发改﹝2020﹞50号），文件指出到2020年，节水政策法规、市场机制、标准体系初步建立，全市万元国内生产总值用水量、万元工业增加值用水量比2015年降低29%，规模以上工业用水重复利用率达到91%以上，农田灌溉水有效利用系数提高到0.475以上，全市用水总量控制在6.9亿m</w:t>
      </w:r>
      <w:r>
        <w:rPr>
          <w:rFonts w:hint="default" w:ascii="Times New Roman" w:hAnsi="Times New Roman" w:eastAsia="仿宋_GB2312" w:cs="Times New Roman"/>
          <w:b w:val="0"/>
          <w:sz w:val="32"/>
          <w:szCs w:val="32"/>
          <w:vertAlign w:val="superscript"/>
        </w:rPr>
        <w:t>3</w:t>
      </w:r>
      <w:r>
        <w:rPr>
          <w:rFonts w:hint="default" w:ascii="Times New Roman" w:hAnsi="Times New Roman" w:eastAsia="仿宋_GB2312" w:cs="Times New Roman"/>
          <w:b w:val="0"/>
          <w:sz w:val="32"/>
          <w:szCs w:val="32"/>
        </w:rPr>
        <w:t>以内，全市公共供水管网漏损率控制在10%以内。</w:t>
      </w:r>
    </w:p>
    <w:p>
      <w:pPr>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2020年，全市用水总量5.11亿m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万元国内生产总值用水量比2015年下降30.06%，万元工业增加值用水量比2015年下降31.13%，农田灌溉水有效利用系数达到0.476，重要水功能区水质达标率为100%。较好完成了省级下达我市“十三五”节水指标目标，实现了经济社会发展与水资源承载能力相协调。</w:t>
      </w:r>
    </w:p>
    <w:p>
      <w:pPr>
        <w:snapToGrid w:val="0"/>
        <w:spacing w:line="240" w:lineRule="auto"/>
        <w:ind w:firstLine="48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表1.1  巴中市“十三五”节水型社会建设主要目标完成情况</w:t>
      </w:r>
    </w:p>
    <w:tbl>
      <w:tblPr>
        <w:tblStyle w:val="19"/>
        <w:tblW w:w="8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6"/>
        <w:gridCol w:w="808"/>
        <w:gridCol w:w="2398"/>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4396"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指  标</w:t>
            </w:r>
          </w:p>
        </w:tc>
        <w:tc>
          <w:tcPr>
            <w:tcW w:w="80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2015</w:t>
            </w:r>
          </w:p>
        </w:tc>
        <w:tc>
          <w:tcPr>
            <w:tcW w:w="239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“十三五”目标</w:t>
            </w:r>
          </w:p>
        </w:tc>
        <w:tc>
          <w:tcPr>
            <w:tcW w:w="1345"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396"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用水总量（亿m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w:t>
            </w:r>
          </w:p>
        </w:tc>
        <w:tc>
          <w:tcPr>
            <w:tcW w:w="80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5.29</w:t>
            </w:r>
          </w:p>
        </w:tc>
        <w:tc>
          <w:tcPr>
            <w:tcW w:w="239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6.9</w:t>
            </w:r>
          </w:p>
        </w:tc>
        <w:tc>
          <w:tcPr>
            <w:tcW w:w="1345"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6"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vertAlign w:val="superscript"/>
              </w:rPr>
              <w:t>*</w:t>
            </w:r>
            <w:r>
              <w:rPr>
                <w:rFonts w:hint="default" w:ascii="Times New Roman" w:hAnsi="Times New Roman" w:cs="Times New Roman"/>
                <w:sz w:val="21"/>
                <w:szCs w:val="21"/>
              </w:rPr>
              <w:t>万元国内生产总值用水量下降率（%）</w:t>
            </w:r>
          </w:p>
        </w:tc>
        <w:tc>
          <w:tcPr>
            <w:tcW w:w="80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239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29</w:t>
            </w:r>
          </w:p>
        </w:tc>
        <w:tc>
          <w:tcPr>
            <w:tcW w:w="1345"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6"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vertAlign w:val="superscript"/>
              </w:rPr>
              <w:t>*</w:t>
            </w:r>
            <w:r>
              <w:rPr>
                <w:rFonts w:hint="default" w:ascii="Times New Roman" w:hAnsi="Times New Roman" w:cs="Times New Roman"/>
                <w:sz w:val="21"/>
                <w:szCs w:val="21"/>
              </w:rPr>
              <w:t>万元工业增加值用水量下降率（%）</w:t>
            </w:r>
          </w:p>
        </w:tc>
        <w:tc>
          <w:tcPr>
            <w:tcW w:w="80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239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29</w:t>
            </w:r>
          </w:p>
        </w:tc>
        <w:tc>
          <w:tcPr>
            <w:tcW w:w="1345"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31.13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396"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农田灌溉水有效利用系数</w:t>
            </w:r>
          </w:p>
        </w:tc>
        <w:tc>
          <w:tcPr>
            <w:tcW w:w="80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0.43</w:t>
            </w:r>
          </w:p>
        </w:tc>
        <w:tc>
          <w:tcPr>
            <w:tcW w:w="239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0.475</w:t>
            </w:r>
          </w:p>
        </w:tc>
        <w:tc>
          <w:tcPr>
            <w:tcW w:w="1345"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6"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规模以上工业用水重复利用率（%）</w:t>
            </w:r>
          </w:p>
        </w:tc>
        <w:tc>
          <w:tcPr>
            <w:tcW w:w="80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239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&gt;91</w:t>
            </w:r>
          </w:p>
        </w:tc>
        <w:tc>
          <w:tcPr>
            <w:tcW w:w="1345"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&gt;91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4396"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公共供水管网漏损率（%）</w:t>
            </w:r>
          </w:p>
        </w:tc>
        <w:tc>
          <w:tcPr>
            <w:tcW w:w="80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239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≤10</w:t>
            </w:r>
          </w:p>
        </w:tc>
        <w:tc>
          <w:tcPr>
            <w:tcW w:w="1345"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≤10</w:t>
            </w:r>
          </w:p>
        </w:tc>
      </w:tr>
    </w:tbl>
    <w:p>
      <w:pPr>
        <w:keepNext w:val="0"/>
        <w:keepLines w:val="0"/>
        <w:pageBreakBefore w:val="0"/>
        <w:widowControl w:val="0"/>
        <w:kinsoku/>
        <w:wordWrap/>
        <w:overflowPunct/>
        <w:topLinePunct w:val="0"/>
        <w:autoSpaceDE/>
        <w:autoSpaceDN/>
        <w:bidi w:val="0"/>
        <w:adjustRightInd/>
        <w:snapToGrid w:val="0"/>
        <w:spacing w:line="280" w:lineRule="exact"/>
        <w:ind w:firstLine="0" w:firstLineChars="0"/>
        <w:textAlignment w:val="auto"/>
        <w:rPr>
          <w:rFonts w:hint="default" w:ascii="Times New Roman" w:hAnsi="Times New Roman" w:cs="Times New Roman"/>
          <w:sz w:val="20"/>
          <w:szCs w:val="20"/>
        </w:rPr>
      </w:pPr>
      <w:r>
        <w:rPr>
          <w:rFonts w:hint="default" w:ascii="Times New Roman" w:hAnsi="Times New Roman" w:cs="Times New Roman"/>
          <w:kern w:val="44"/>
          <w:sz w:val="21"/>
          <w:szCs w:val="21"/>
          <w:vertAlign w:val="superscript"/>
        </w:rPr>
        <w:t>*</w:t>
      </w:r>
      <w:r>
        <w:rPr>
          <w:rFonts w:hint="default" w:ascii="Times New Roman" w:hAnsi="Times New Roman" w:cs="Times New Roman"/>
          <w:sz w:val="21"/>
          <w:szCs w:val="21"/>
        </w:rPr>
        <w:t>注：万元地区生产总值用水量、万元工业增加值用水量下降率是指2020年较2015年下降率。</w:t>
      </w:r>
    </w:p>
    <w:p>
      <w:pPr>
        <w:pStyle w:val="24"/>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bCs/>
          <w:sz w:val="32"/>
          <w:szCs w:val="32"/>
        </w:rPr>
        <w:t>二是节水制度体系不断完善。</w:t>
      </w:r>
      <w:r>
        <w:rPr>
          <w:rFonts w:hint="default" w:ascii="Times New Roman" w:hAnsi="Times New Roman" w:eastAsia="仿宋_GB2312" w:cs="Times New Roman"/>
          <w:b w:val="0"/>
          <w:sz w:val="32"/>
          <w:szCs w:val="32"/>
        </w:rPr>
        <w:t>一是印发了《2020年巴中市节约用水工作要点的通知》《巴中市水利局 巴中市发展和改革委员会关于建立市级节约用水工作联席会议制度的通知》。二是计划用水方面，印发了《关于核定巴中城区（巴州城区、巴中经济技术开发区）非居民用水计划（定额）的通知》，核定了巴州城区管网内非居民用水计划。三是水价机制方面，2016年建立了居民用水阶梯水价制度，全面实行居民用水阶梯水价；2019年制定《巴中市非居民用水超计划（定额）累进加价制度实施方案》，自2019年10月1日起率先对机关事业单位、商场、学校三个行业实行非居民用水超计划超定额累进加价收费政策，2019年底对城镇非居民用水全部实行超计划累进加价收费政策；印发了《转发省发改委等四部门关于持续推进农业水价综合改革工作的通知》《转发关于做好2019年农业水价综合改革工作暨编制2020年度实施计划的通知》《转发四川省发展和改革委员会等四部门关于下达2020年农业水价综合改革实施</w:t>
      </w:r>
      <w:r>
        <w:rPr>
          <w:rFonts w:hint="default" w:ascii="Times New Roman" w:hAnsi="Times New Roman" w:eastAsia="仿宋_GB2312" w:cs="Times New Roman"/>
          <w:b w:val="0"/>
          <w:spacing w:val="-6"/>
          <w:sz w:val="32"/>
          <w:szCs w:val="32"/>
        </w:rPr>
        <w:t>计划任务的通知》，提出了农业水价综合改革的具体目标和任务。</w:t>
      </w:r>
    </w:p>
    <w:p>
      <w:pPr>
        <w:pStyle w:val="7"/>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三是节水型社会建设和节水载体建设稳步推进。</w:t>
      </w:r>
      <w:r>
        <w:rPr>
          <w:rFonts w:hint="default" w:ascii="Times New Roman" w:hAnsi="Times New Roman" w:eastAsia="仿宋_GB2312" w:cs="Times New Roman"/>
          <w:sz w:val="32"/>
          <w:szCs w:val="32"/>
        </w:rPr>
        <w:t>全市5个区县均先后启动了节水型社会建设工作，创建工作成效明显。目前，平昌县已完成节水型社会重点县建设，巴中市恩阳区、南江县已完成县域节水型社会达标建设，并通过了水利部第三批节水型社会建设达标县复核；另外，巴州区、通江县已完成县域节水型社会达标建设技术评估和省级验收，力争2022年底通过水利部复核；平昌县正在开展节水型社会展达标县建设，力争2023年底完成创建工作。</w:t>
      </w:r>
    </w:p>
    <w:p>
      <w:pPr>
        <w:pStyle w:val="24"/>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sz w:val="32"/>
          <w:szCs w:val="32"/>
        </w:rPr>
      </w:pPr>
      <w:r>
        <w:rPr>
          <w:rFonts w:hint="default" w:ascii="Times New Roman" w:hAnsi="Times New Roman" w:eastAsia="仿宋_GB2312" w:cs="Times New Roman"/>
          <w:b w:val="0"/>
          <w:sz w:val="32"/>
          <w:szCs w:val="32"/>
        </w:rPr>
        <w:t>节水载体建设方面，2020年，巴中市水利局、恩阳区水利局、平昌县水利局高质量完成水利行业节水标杆建设，并通过水利厅验收，节水率均达15%以上，节水器具普及率100%；会同巴中市机关事务服务中心指导51家单位完成节水机构建设，通过验收成功命名为“公共机构节水示范单位”；全市市级机关70%、事业单位50%以上成功创建公共机构节水示范单位；会同经信部门创建了3家市级节水示范企业。会同住建部门积极创建节水型小区20个；会同教育和体育局指导巴中市职业技术学院积极申报节水型高校建设。</w:t>
      </w:r>
    </w:p>
    <w:p>
      <w:pPr>
        <w:pStyle w:val="24"/>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sz w:val="32"/>
          <w:szCs w:val="32"/>
        </w:rPr>
      </w:pPr>
      <w:bookmarkStart w:id="20" w:name="_Toc1506"/>
      <w:r>
        <w:rPr>
          <w:rFonts w:hint="default" w:ascii="Times New Roman" w:hAnsi="Times New Roman" w:eastAsia="仿宋_GB2312" w:cs="Times New Roman"/>
          <w:bCs/>
          <w:sz w:val="32"/>
          <w:szCs w:val="32"/>
        </w:rPr>
        <w:t>四是节水宣传</w:t>
      </w:r>
      <w:bookmarkEnd w:id="20"/>
      <w:r>
        <w:rPr>
          <w:rFonts w:hint="default" w:ascii="Times New Roman" w:hAnsi="Times New Roman" w:eastAsia="仿宋_GB2312" w:cs="Times New Roman"/>
          <w:bCs/>
          <w:sz w:val="32"/>
          <w:szCs w:val="32"/>
        </w:rPr>
        <w:t>力度不断加强。</w:t>
      </w:r>
      <w:r>
        <w:rPr>
          <w:rFonts w:hint="default" w:ascii="Times New Roman" w:hAnsi="Times New Roman" w:eastAsia="仿宋_GB2312" w:cs="Times New Roman"/>
          <w:b w:val="0"/>
          <w:sz w:val="32"/>
          <w:szCs w:val="32"/>
        </w:rPr>
        <w:t>结合“世界水日”“中国水周”“城市节水宣传周”等有利契机，采用线上线下结合方式开展节水宣传，全力培养和提升全社会节约用水意识。开展了《四川省节约用水办法》学习贯彻，将《办法》纳入中心组学习、职工会学习，召开成员单位学习。会同</w:t>
      </w:r>
      <w:r>
        <w:rPr>
          <w:rFonts w:hint="default" w:eastAsia="仿宋_GB2312" w:cs="Times New Roman"/>
          <w:b w:val="0"/>
          <w:sz w:val="32"/>
          <w:szCs w:val="32"/>
        </w:rPr>
        <w:t>市教育体育局</w:t>
      </w:r>
      <w:r>
        <w:rPr>
          <w:rFonts w:hint="default" w:ascii="Times New Roman" w:hAnsi="Times New Roman" w:eastAsia="仿宋_GB2312" w:cs="Times New Roman"/>
          <w:b w:val="0"/>
          <w:sz w:val="32"/>
          <w:szCs w:val="32"/>
        </w:rPr>
        <w:t>在学校开展“人人争当节水大使”主题宣传教育活动，学校开展节水课堂，有效提升和培养全社会节约用水意识。</w:t>
      </w:r>
    </w:p>
    <w:p>
      <w:pPr>
        <w:pStyle w:val="5"/>
        <w:pageBreakBefore w:val="0"/>
        <w:widowControl w:val="0"/>
        <w:numPr>
          <w:ilvl w:val="255"/>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color w:val="auto"/>
          <w:sz w:val="32"/>
          <w:szCs w:val="32"/>
        </w:rPr>
      </w:pPr>
      <w:bookmarkStart w:id="21" w:name="_Toc30173"/>
      <w:bookmarkStart w:id="22" w:name="_Toc21679"/>
      <w:bookmarkStart w:id="23" w:name="_Toc100673799"/>
      <w:bookmarkStart w:id="24" w:name="_Toc23398"/>
      <w:bookmarkStart w:id="25" w:name="_Toc12946"/>
      <w:bookmarkStart w:id="26" w:name="_Toc29478"/>
      <w:bookmarkStart w:id="27" w:name="_Toc80693604"/>
      <w:r>
        <w:rPr>
          <w:rFonts w:hint="default" w:ascii="Times New Roman" w:hAnsi="Times New Roman" w:eastAsia="楷体_GB2312" w:cs="Times New Roman"/>
          <w:color w:val="auto"/>
          <w:sz w:val="32"/>
          <w:szCs w:val="32"/>
        </w:rPr>
        <w:t>（二）存在问题</w:t>
      </w:r>
      <w:bookmarkEnd w:id="21"/>
      <w:bookmarkEnd w:id="22"/>
      <w:bookmarkEnd w:id="23"/>
      <w:bookmarkEnd w:id="24"/>
      <w:bookmarkEnd w:id="25"/>
      <w:bookmarkEnd w:id="26"/>
      <w:bookmarkEnd w:id="27"/>
    </w:p>
    <w:p>
      <w:pPr>
        <w:pStyle w:val="24"/>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sz w:val="32"/>
          <w:szCs w:val="32"/>
        </w:rPr>
      </w:pPr>
      <w:bookmarkStart w:id="28" w:name="_Toc527"/>
      <w:r>
        <w:rPr>
          <w:rFonts w:hint="default" w:ascii="Times New Roman" w:hAnsi="Times New Roman" w:eastAsia="仿宋_GB2312" w:cs="Times New Roman"/>
          <w:bCs/>
          <w:sz w:val="32"/>
          <w:szCs w:val="32"/>
        </w:rPr>
        <w:t>一是现状用水水平还有待提高。</w:t>
      </w:r>
      <w:r>
        <w:rPr>
          <w:rFonts w:hint="default" w:ascii="Times New Roman" w:hAnsi="Times New Roman" w:eastAsia="仿宋_GB2312" w:cs="Times New Roman"/>
          <w:b w:val="0"/>
          <w:sz w:val="32"/>
          <w:szCs w:val="32"/>
        </w:rPr>
        <w:t>依据《2020年巴中市水资源公报》，巴中市2020年总用水量5.11亿m</w:t>
      </w:r>
      <w:r>
        <w:rPr>
          <w:rFonts w:hint="default" w:ascii="Times New Roman" w:hAnsi="Times New Roman" w:eastAsia="仿宋_GB2312" w:cs="Times New Roman"/>
          <w:b w:val="0"/>
          <w:sz w:val="32"/>
          <w:szCs w:val="32"/>
          <w:vertAlign w:val="superscript"/>
        </w:rPr>
        <w:t>3</w:t>
      </w:r>
      <w:r>
        <w:rPr>
          <w:rFonts w:hint="default" w:ascii="Times New Roman" w:hAnsi="Times New Roman" w:eastAsia="仿宋_GB2312" w:cs="Times New Roman"/>
          <w:b w:val="0"/>
          <w:sz w:val="32"/>
          <w:szCs w:val="32"/>
        </w:rPr>
        <w:t>，人均综合用水量188m</w:t>
      </w:r>
      <w:r>
        <w:rPr>
          <w:rFonts w:hint="default" w:ascii="Times New Roman" w:hAnsi="Times New Roman" w:eastAsia="仿宋_GB2312" w:cs="Times New Roman"/>
          <w:b w:val="0"/>
          <w:sz w:val="32"/>
          <w:szCs w:val="32"/>
          <w:vertAlign w:val="superscript"/>
        </w:rPr>
        <w:t>3</w:t>
      </w:r>
      <w:r>
        <w:rPr>
          <w:rFonts w:hint="default" w:ascii="Times New Roman" w:hAnsi="Times New Roman" w:eastAsia="仿宋_GB2312" w:cs="Times New Roman"/>
          <w:b w:val="0"/>
          <w:sz w:val="32"/>
          <w:szCs w:val="32"/>
        </w:rPr>
        <w:t>/人，低于四川省283m</w:t>
      </w:r>
      <w:r>
        <w:rPr>
          <w:rFonts w:hint="default" w:ascii="Times New Roman" w:hAnsi="Times New Roman" w:eastAsia="仿宋_GB2312" w:cs="Times New Roman"/>
          <w:b w:val="0"/>
          <w:sz w:val="32"/>
          <w:szCs w:val="32"/>
          <w:vertAlign w:val="superscript"/>
        </w:rPr>
        <w:t>3</w:t>
      </w:r>
      <w:r>
        <w:rPr>
          <w:rFonts w:hint="default" w:ascii="Times New Roman" w:hAnsi="Times New Roman" w:eastAsia="仿宋_GB2312" w:cs="Times New Roman"/>
          <w:b w:val="0"/>
          <w:sz w:val="32"/>
          <w:szCs w:val="32"/>
        </w:rPr>
        <w:t>/人的水平；万元GDP用水量73.74m</w:t>
      </w:r>
      <w:r>
        <w:rPr>
          <w:rFonts w:hint="default" w:ascii="Times New Roman" w:hAnsi="Times New Roman" w:eastAsia="仿宋_GB2312" w:cs="Times New Roman"/>
          <w:b w:val="0"/>
          <w:sz w:val="32"/>
          <w:szCs w:val="32"/>
          <w:vertAlign w:val="superscript"/>
        </w:rPr>
        <w:t>3</w:t>
      </w:r>
      <w:r>
        <w:rPr>
          <w:rFonts w:hint="default" w:ascii="Times New Roman" w:hAnsi="Times New Roman" w:eastAsia="仿宋_GB2312" w:cs="Times New Roman"/>
          <w:b w:val="0"/>
          <w:sz w:val="32"/>
          <w:szCs w:val="32"/>
        </w:rPr>
        <w:t>/万元，高于四川省49m</w:t>
      </w:r>
      <w:r>
        <w:rPr>
          <w:rFonts w:hint="default" w:ascii="Times New Roman" w:hAnsi="Times New Roman" w:eastAsia="仿宋_GB2312" w:cs="Times New Roman"/>
          <w:b w:val="0"/>
          <w:sz w:val="32"/>
          <w:szCs w:val="32"/>
          <w:vertAlign w:val="superscript"/>
        </w:rPr>
        <w:t>3</w:t>
      </w:r>
      <w:r>
        <w:rPr>
          <w:rFonts w:hint="default" w:ascii="Times New Roman" w:hAnsi="Times New Roman" w:eastAsia="仿宋_GB2312" w:cs="Times New Roman"/>
          <w:b w:val="0"/>
          <w:sz w:val="32"/>
          <w:szCs w:val="32"/>
        </w:rPr>
        <w:t>/万元的平均水平；万元工业增加值用水量为30.3m</w:t>
      </w:r>
      <w:r>
        <w:rPr>
          <w:rFonts w:hint="default" w:ascii="Times New Roman" w:hAnsi="Times New Roman" w:eastAsia="仿宋_GB2312" w:cs="Times New Roman"/>
          <w:b w:val="0"/>
          <w:sz w:val="32"/>
          <w:szCs w:val="32"/>
          <w:vertAlign w:val="superscript"/>
        </w:rPr>
        <w:t>3</w:t>
      </w:r>
      <w:r>
        <w:rPr>
          <w:rFonts w:hint="default" w:ascii="Times New Roman" w:hAnsi="Times New Roman" w:eastAsia="仿宋_GB2312" w:cs="Times New Roman"/>
          <w:b w:val="0"/>
          <w:sz w:val="32"/>
          <w:szCs w:val="32"/>
        </w:rPr>
        <w:t>/万元，高于四川省18m</w:t>
      </w:r>
      <w:r>
        <w:rPr>
          <w:rFonts w:hint="default" w:ascii="Times New Roman" w:hAnsi="Times New Roman" w:eastAsia="仿宋_GB2312" w:cs="Times New Roman"/>
          <w:b w:val="0"/>
          <w:sz w:val="32"/>
          <w:szCs w:val="32"/>
          <w:vertAlign w:val="superscript"/>
        </w:rPr>
        <w:t>3</w:t>
      </w:r>
      <w:r>
        <w:rPr>
          <w:rFonts w:hint="default" w:ascii="Times New Roman" w:hAnsi="Times New Roman" w:eastAsia="仿宋_GB2312" w:cs="Times New Roman"/>
          <w:b w:val="0"/>
          <w:sz w:val="32"/>
          <w:szCs w:val="32"/>
        </w:rPr>
        <w:t>/万元的平均水平；城镇人均生活用水指标（含公共用水）为202L/（人·d），低于四川省城镇人均生活用水量（含公共用水）216L/（人·d）的平均水平。农业用水方面，农田实灌亩均用水量213m</w:t>
      </w:r>
      <w:r>
        <w:rPr>
          <w:rFonts w:hint="default" w:ascii="Times New Roman" w:hAnsi="Times New Roman" w:eastAsia="仿宋_GB2312" w:cs="Times New Roman"/>
          <w:b w:val="0"/>
          <w:sz w:val="32"/>
          <w:szCs w:val="32"/>
          <w:vertAlign w:val="superscript"/>
        </w:rPr>
        <w:t>3</w:t>
      </w:r>
      <w:r>
        <w:rPr>
          <w:rFonts w:hint="default" w:ascii="Times New Roman" w:hAnsi="Times New Roman" w:eastAsia="仿宋_GB2312" w:cs="Times New Roman"/>
          <w:b w:val="0"/>
          <w:sz w:val="32"/>
          <w:szCs w:val="32"/>
        </w:rPr>
        <w:t>/亩，现状农田灌溉水利用系数为0.476，低于四川省0.484的平均水平。</w:t>
      </w:r>
    </w:p>
    <w:p>
      <w:pPr>
        <w:pStyle w:val="24"/>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sz w:val="32"/>
          <w:szCs w:val="32"/>
        </w:rPr>
      </w:pPr>
      <w:r>
        <w:rPr>
          <w:rFonts w:hint="default" w:ascii="Times New Roman" w:hAnsi="Times New Roman" w:eastAsia="仿宋_GB2312" w:cs="Times New Roman"/>
          <w:b w:val="0"/>
          <w:sz w:val="32"/>
          <w:szCs w:val="32"/>
        </w:rPr>
        <w:t>从现状用水水平来看，巴中市主要用水效率指标与全省平均水平尚有差距，节水管理与节水技术有待进一步提高，具有较大节水空间。</w:t>
      </w:r>
    </w:p>
    <w:p>
      <w:pPr>
        <w:spacing w:line="240" w:lineRule="auto"/>
        <w:ind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表1.2  2020年巴中市用水水平情况</w:t>
      </w:r>
    </w:p>
    <w:tbl>
      <w:tblPr>
        <w:tblStyle w:val="18"/>
        <w:tblpPr w:leftFromText="180" w:rightFromText="180" w:vertAnchor="text" w:horzAnchor="page" w:tblpX="1833" w:tblpY="309"/>
        <w:tblOverlap w:val="never"/>
        <w:tblW w:w="8695" w:type="dxa"/>
        <w:tblInd w:w="-7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230"/>
        <w:gridCol w:w="1268"/>
        <w:gridCol w:w="1268"/>
        <w:gridCol w:w="1268"/>
        <w:gridCol w:w="1315"/>
        <w:gridCol w:w="1287"/>
        <w:gridCol w:w="105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33" w:hRule="atLeast"/>
        </w:trPr>
        <w:tc>
          <w:tcPr>
            <w:tcW w:w="1230" w:type="dxa"/>
            <w:tcBorders>
              <w:top w:val="single" w:color="auto" w:sz="4" w:space="0"/>
              <w:left w:val="single" w:color="auto" w:sz="4" w:space="0"/>
              <w:bottom w:val="single" w:color="auto" w:sz="4" w:space="0"/>
              <w:right w:val="single" w:color="auto" w:sz="4" w:space="0"/>
              <w:tl2br w:val="single" w:color="auto" w:sz="8" w:space="0"/>
            </w:tcBorders>
            <w:vAlign w:val="center"/>
          </w:tcPr>
          <w:p>
            <w:pPr>
              <w:adjustRightInd w:val="0"/>
              <w:snapToGrid w:val="0"/>
              <w:spacing w:line="240" w:lineRule="auto"/>
              <w:ind w:left="420" w:hanging="420" w:hangingChars="200"/>
              <w:jc w:val="left"/>
              <w:rPr>
                <w:rFonts w:hint="default" w:ascii="Times New Roman" w:hAnsi="Times New Roman" w:eastAsia="黑体" w:cs="Times New Roman"/>
                <w:b w:val="0"/>
                <w:bCs w:val="0"/>
                <w:sz w:val="21"/>
                <w:szCs w:val="20"/>
              </w:rPr>
            </w:pPr>
            <w:r>
              <w:rPr>
                <w:rFonts w:hint="default" w:ascii="Times New Roman" w:hAnsi="Times New Roman" w:eastAsia="黑体" w:cs="Times New Roman"/>
                <w:b w:val="0"/>
                <w:bCs w:val="0"/>
                <w:sz w:val="21"/>
                <w:szCs w:val="20"/>
              </w:rPr>
              <w:t xml:space="preserve">    指标</w:t>
            </w:r>
          </w:p>
          <w:p>
            <w:pPr>
              <w:adjustRightInd w:val="0"/>
              <w:snapToGrid w:val="0"/>
              <w:spacing w:line="240" w:lineRule="auto"/>
              <w:ind w:firstLine="0" w:firstLineChars="0"/>
              <w:jc w:val="left"/>
              <w:rPr>
                <w:rFonts w:hint="default" w:ascii="Times New Roman" w:hAnsi="Times New Roman" w:eastAsia="黑体" w:cs="Times New Roman"/>
                <w:b w:val="0"/>
                <w:bCs w:val="0"/>
                <w:sz w:val="21"/>
                <w:szCs w:val="20"/>
              </w:rPr>
            </w:pPr>
          </w:p>
          <w:p>
            <w:pPr>
              <w:adjustRightInd w:val="0"/>
              <w:snapToGrid w:val="0"/>
              <w:spacing w:line="240" w:lineRule="auto"/>
              <w:ind w:firstLine="0" w:firstLineChars="0"/>
              <w:jc w:val="left"/>
              <w:rPr>
                <w:rFonts w:hint="default" w:ascii="Times New Roman" w:hAnsi="Times New Roman" w:eastAsia="黑体" w:cs="Times New Roman"/>
                <w:b w:val="0"/>
                <w:bCs w:val="0"/>
                <w:sz w:val="21"/>
                <w:szCs w:val="20"/>
              </w:rPr>
            </w:pPr>
          </w:p>
          <w:p>
            <w:pPr>
              <w:adjustRightInd w:val="0"/>
              <w:snapToGrid w:val="0"/>
              <w:spacing w:line="240" w:lineRule="auto"/>
              <w:ind w:firstLine="0" w:firstLineChars="0"/>
              <w:jc w:val="left"/>
              <w:rPr>
                <w:rFonts w:hint="default" w:ascii="Times New Roman" w:hAnsi="Times New Roman" w:eastAsia="黑体" w:cs="Times New Roman"/>
                <w:b w:val="0"/>
                <w:bCs w:val="0"/>
                <w:sz w:val="21"/>
                <w:szCs w:val="20"/>
              </w:rPr>
            </w:pPr>
            <w:r>
              <w:rPr>
                <w:rFonts w:hint="default" w:ascii="Times New Roman" w:hAnsi="Times New Roman" w:eastAsia="黑体" w:cs="Times New Roman"/>
                <w:b w:val="0"/>
                <w:bCs w:val="0"/>
                <w:sz w:val="21"/>
                <w:szCs w:val="20"/>
              </w:rPr>
              <w:t>地 区</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eastAsia="黑体" w:cs="Times New Roman"/>
                <w:b w:val="0"/>
                <w:bCs w:val="0"/>
                <w:sz w:val="21"/>
                <w:szCs w:val="20"/>
              </w:rPr>
            </w:pPr>
            <w:r>
              <w:rPr>
                <w:rFonts w:hint="default" w:ascii="Times New Roman" w:hAnsi="Times New Roman" w:eastAsia="黑体" w:cs="Times New Roman"/>
                <w:b w:val="0"/>
                <w:bCs w:val="0"/>
                <w:sz w:val="21"/>
                <w:szCs w:val="20"/>
              </w:rPr>
              <w:t>万元GDP</w:t>
            </w:r>
          </w:p>
          <w:p>
            <w:pPr>
              <w:adjustRightInd w:val="0"/>
              <w:snapToGrid w:val="0"/>
              <w:spacing w:line="240" w:lineRule="auto"/>
              <w:ind w:firstLine="0" w:firstLineChars="0"/>
              <w:jc w:val="center"/>
              <w:rPr>
                <w:rFonts w:hint="default" w:ascii="Times New Roman" w:hAnsi="Times New Roman" w:eastAsia="黑体" w:cs="Times New Roman"/>
                <w:b w:val="0"/>
                <w:bCs w:val="0"/>
                <w:sz w:val="21"/>
                <w:szCs w:val="20"/>
              </w:rPr>
            </w:pPr>
            <w:r>
              <w:rPr>
                <w:rFonts w:hint="default" w:ascii="Times New Roman" w:hAnsi="Times New Roman" w:eastAsia="黑体" w:cs="Times New Roman"/>
                <w:b w:val="0"/>
                <w:bCs w:val="0"/>
                <w:sz w:val="21"/>
                <w:szCs w:val="20"/>
              </w:rPr>
              <w:t>用水量</w:t>
            </w:r>
          </w:p>
          <w:p>
            <w:pPr>
              <w:adjustRightInd w:val="0"/>
              <w:snapToGrid w:val="0"/>
              <w:spacing w:line="240" w:lineRule="auto"/>
              <w:ind w:firstLine="0" w:firstLineChars="0"/>
              <w:jc w:val="left"/>
              <w:rPr>
                <w:rFonts w:hint="default" w:ascii="Times New Roman" w:hAnsi="Times New Roman" w:eastAsia="黑体" w:cs="Times New Roman"/>
                <w:b w:val="0"/>
                <w:bCs w:val="0"/>
                <w:sz w:val="21"/>
                <w:szCs w:val="20"/>
              </w:rPr>
            </w:pPr>
            <w:r>
              <w:rPr>
                <w:rFonts w:hint="default" w:ascii="Times New Roman" w:hAnsi="Times New Roman" w:eastAsia="黑体" w:cs="Times New Roman"/>
                <w:b w:val="0"/>
                <w:bCs w:val="0"/>
                <w:sz w:val="21"/>
                <w:szCs w:val="20"/>
              </w:rPr>
              <w:t>（m</w:t>
            </w:r>
            <w:r>
              <w:rPr>
                <w:rFonts w:hint="default" w:ascii="Times New Roman" w:hAnsi="Times New Roman" w:eastAsia="黑体" w:cs="Times New Roman"/>
                <w:b w:val="0"/>
                <w:bCs w:val="0"/>
                <w:sz w:val="21"/>
                <w:szCs w:val="20"/>
                <w:vertAlign w:val="superscript"/>
              </w:rPr>
              <w:t>3</w:t>
            </w:r>
            <w:r>
              <w:rPr>
                <w:rFonts w:hint="default" w:ascii="Times New Roman" w:hAnsi="Times New Roman" w:eastAsia="黑体" w:cs="Times New Roman"/>
                <w:b w:val="0"/>
                <w:bCs w:val="0"/>
                <w:sz w:val="21"/>
                <w:szCs w:val="20"/>
              </w:rPr>
              <w:t>/万元）</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left"/>
              <w:rPr>
                <w:rFonts w:hint="default" w:ascii="Times New Roman" w:hAnsi="Times New Roman" w:eastAsia="黑体" w:cs="Times New Roman"/>
                <w:b w:val="0"/>
                <w:bCs w:val="0"/>
                <w:sz w:val="21"/>
                <w:szCs w:val="20"/>
              </w:rPr>
            </w:pPr>
            <w:r>
              <w:rPr>
                <w:rFonts w:hint="default" w:ascii="Times New Roman" w:hAnsi="Times New Roman" w:eastAsia="黑体" w:cs="Times New Roman"/>
                <w:b w:val="0"/>
                <w:bCs w:val="0"/>
                <w:sz w:val="21"/>
                <w:szCs w:val="20"/>
              </w:rPr>
              <w:t>万元工业增加值用水量</w:t>
            </w:r>
          </w:p>
          <w:p>
            <w:pPr>
              <w:adjustRightInd w:val="0"/>
              <w:snapToGrid w:val="0"/>
              <w:spacing w:line="240" w:lineRule="auto"/>
              <w:ind w:firstLine="0" w:firstLineChars="0"/>
              <w:jc w:val="left"/>
              <w:rPr>
                <w:rFonts w:hint="default" w:ascii="Times New Roman" w:hAnsi="Times New Roman" w:eastAsia="黑体" w:cs="Times New Roman"/>
                <w:b w:val="0"/>
                <w:bCs w:val="0"/>
                <w:sz w:val="21"/>
                <w:szCs w:val="20"/>
              </w:rPr>
            </w:pPr>
            <w:r>
              <w:rPr>
                <w:rFonts w:hint="default" w:ascii="Times New Roman" w:hAnsi="Times New Roman" w:eastAsia="黑体" w:cs="Times New Roman"/>
                <w:b w:val="0"/>
                <w:bCs w:val="0"/>
                <w:sz w:val="21"/>
                <w:szCs w:val="20"/>
              </w:rPr>
              <w:t>（m</w:t>
            </w:r>
            <w:r>
              <w:rPr>
                <w:rFonts w:hint="default" w:ascii="Times New Roman" w:hAnsi="Times New Roman" w:eastAsia="黑体" w:cs="Times New Roman"/>
                <w:b w:val="0"/>
                <w:bCs w:val="0"/>
                <w:sz w:val="21"/>
                <w:szCs w:val="20"/>
                <w:vertAlign w:val="superscript"/>
              </w:rPr>
              <w:t>3</w:t>
            </w:r>
            <w:r>
              <w:rPr>
                <w:rFonts w:hint="default" w:ascii="Times New Roman" w:hAnsi="Times New Roman" w:eastAsia="黑体" w:cs="Times New Roman"/>
                <w:b w:val="0"/>
                <w:bCs w:val="0"/>
                <w:sz w:val="21"/>
                <w:szCs w:val="20"/>
              </w:rPr>
              <w:t>/万元）</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eastAsia="黑体" w:cs="Times New Roman"/>
                <w:b w:val="0"/>
                <w:bCs w:val="0"/>
                <w:sz w:val="21"/>
                <w:szCs w:val="20"/>
              </w:rPr>
            </w:pPr>
            <w:r>
              <w:rPr>
                <w:rFonts w:hint="default" w:ascii="Times New Roman" w:hAnsi="Times New Roman" w:eastAsia="黑体" w:cs="Times New Roman"/>
                <w:b w:val="0"/>
                <w:bCs w:val="0"/>
                <w:sz w:val="21"/>
                <w:szCs w:val="20"/>
              </w:rPr>
              <w:t>农田亩均</w:t>
            </w:r>
          </w:p>
          <w:p>
            <w:pPr>
              <w:adjustRightInd w:val="0"/>
              <w:snapToGrid w:val="0"/>
              <w:spacing w:line="240" w:lineRule="auto"/>
              <w:ind w:firstLine="0" w:firstLineChars="0"/>
              <w:jc w:val="center"/>
              <w:rPr>
                <w:rFonts w:hint="default" w:ascii="Times New Roman" w:hAnsi="Times New Roman" w:eastAsia="黑体" w:cs="Times New Roman"/>
                <w:b w:val="0"/>
                <w:bCs w:val="0"/>
                <w:sz w:val="21"/>
                <w:szCs w:val="20"/>
              </w:rPr>
            </w:pPr>
            <w:r>
              <w:rPr>
                <w:rFonts w:hint="default" w:ascii="Times New Roman" w:hAnsi="Times New Roman" w:eastAsia="黑体" w:cs="Times New Roman"/>
                <w:b w:val="0"/>
                <w:bCs w:val="0"/>
                <w:sz w:val="21"/>
                <w:szCs w:val="20"/>
              </w:rPr>
              <w:t>（m</w:t>
            </w:r>
            <w:r>
              <w:rPr>
                <w:rFonts w:hint="default" w:ascii="Times New Roman" w:hAnsi="Times New Roman" w:eastAsia="黑体" w:cs="Times New Roman"/>
                <w:b w:val="0"/>
                <w:bCs w:val="0"/>
                <w:sz w:val="21"/>
                <w:szCs w:val="20"/>
                <w:vertAlign w:val="superscript"/>
              </w:rPr>
              <w:t>3</w:t>
            </w:r>
            <w:r>
              <w:rPr>
                <w:rFonts w:hint="default" w:ascii="Times New Roman" w:hAnsi="Times New Roman" w:eastAsia="黑体" w:cs="Times New Roman"/>
                <w:b w:val="0"/>
                <w:bCs w:val="0"/>
                <w:sz w:val="21"/>
                <w:szCs w:val="20"/>
              </w:rPr>
              <w:t>/亩）</w:t>
            </w:r>
          </w:p>
        </w:tc>
        <w:tc>
          <w:tcPr>
            <w:tcW w:w="13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eastAsia="黑体" w:cs="Times New Roman"/>
                <w:b w:val="0"/>
                <w:bCs w:val="0"/>
                <w:sz w:val="21"/>
                <w:szCs w:val="20"/>
              </w:rPr>
            </w:pPr>
            <w:r>
              <w:rPr>
                <w:rFonts w:hint="default" w:ascii="Times New Roman" w:hAnsi="Times New Roman" w:eastAsia="黑体" w:cs="Times New Roman"/>
                <w:b w:val="0"/>
                <w:bCs w:val="0"/>
                <w:sz w:val="21"/>
                <w:szCs w:val="20"/>
              </w:rPr>
              <w:t>城镇生活</w:t>
            </w:r>
          </w:p>
          <w:p>
            <w:pPr>
              <w:adjustRightInd w:val="0"/>
              <w:snapToGrid w:val="0"/>
              <w:spacing w:line="240" w:lineRule="auto"/>
              <w:ind w:firstLine="0" w:firstLineChars="0"/>
              <w:jc w:val="center"/>
              <w:rPr>
                <w:rFonts w:hint="default" w:ascii="Times New Roman" w:hAnsi="Times New Roman" w:eastAsia="黑体" w:cs="Times New Roman"/>
                <w:b w:val="0"/>
                <w:bCs w:val="0"/>
                <w:sz w:val="21"/>
                <w:szCs w:val="20"/>
              </w:rPr>
            </w:pPr>
            <w:r>
              <w:rPr>
                <w:rFonts w:hint="default" w:ascii="Times New Roman" w:hAnsi="Times New Roman" w:eastAsia="黑体" w:cs="Times New Roman"/>
                <w:b w:val="0"/>
                <w:bCs w:val="0"/>
                <w:sz w:val="21"/>
                <w:szCs w:val="20"/>
              </w:rPr>
              <w:t>（L/人.d）</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eastAsia="黑体" w:cs="Times New Roman"/>
                <w:b w:val="0"/>
                <w:bCs w:val="0"/>
                <w:sz w:val="21"/>
                <w:szCs w:val="20"/>
              </w:rPr>
            </w:pPr>
            <w:r>
              <w:rPr>
                <w:rFonts w:hint="default" w:ascii="Times New Roman" w:hAnsi="Times New Roman" w:eastAsia="黑体" w:cs="Times New Roman"/>
                <w:b w:val="0"/>
                <w:bCs w:val="0"/>
                <w:sz w:val="21"/>
                <w:szCs w:val="20"/>
              </w:rPr>
              <w:t>农村生活</w:t>
            </w:r>
          </w:p>
          <w:p>
            <w:pPr>
              <w:adjustRightInd w:val="0"/>
              <w:snapToGrid w:val="0"/>
              <w:spacing w:line="240" w:lineRule="auto"/>
              <w:ind w:firstLine="0" w:firstLineChars="0"/>
              <w:jc w:val="center"/>
              <w:rPr>
                <w:rFonts w:hint="default" w:ascii="Times New Roman" w:hAnsi="Times New Roman" w:eastAsia="黑体" w:cs="Times New Roman"/>
                <w:b w:val="0"/>
                <w:bCs w:val="0"/>
                <w:sz w:val="21"/>
                <w:szCs w:val="20"/>
              </w:rPr>
            </w:pPr>
            <w:r>
              <w:rPr>
                <w:rFonts w:hint="default" w:ascii="Times New Roman" w:hAnsi="Times New Roman" w:eastAsia="黑体" w:cs="Times New Roman"/>
                <w:b w:val="0"/>
                <w:bCs w:val="0"/>
                <w:sz w:val="21"/>
                <w:szCs w:val="20"/>
              </w:rPr>
              <w:t>（L/人.d）</w:t>
            </w: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eastAsia="黑体" w:cs="Times New Roman"/>
                <w:b w:val="0"/>
                <w:bCs w:val="0"/>
                <w:sz w:val="21"/>
                <w:szCs w:val="20"/>
              </w:rPr>
            </w:pPr>
            <w:r>
              <w:rPr>
                <w:rFonts w:hint="default" w:ascii="Times New Roman" w:hAnsi="Times New Roman" w:eastAsia="黑体" w:cs="Times New Roman"/>
                <w:b w:val="0"/>
                <w:bCs w:val="0"/>
                <w:sz w:val="21"/>
                <w:szCs w:val="20"/>
              </w:rPr>
              <w:t>灌溉水</w:t>
            </w:r>
          </w:p>
          <w:p>
            <w:pPr>
              <w:adjustRightInd w:val="0"/>
              <w:snapToGrid w:val="0"/>
              <w:spacing w:line="240" w:lineRule="auto"/>
              <w:ind w:firstLine="0" w:firstLineChars="0"/>
              <w:jc w:val="center"/>
              <w:rPr>
                <w:rFonts w:hint="default" w:ascii="Times New Roman" w:hAnsi="Times New Roman" w:eastAsia="黑体" w:cs="Times New Roman"/>
                <w:b w:val="0"/>
                <w:bCs w:val="0"/>
                <w:sz w:val="21"/>
                <w:szCs w:val="20"/>
              </w:rPr>
            </w:pPr>
            <w:r>
              <w:rPr>
                <w:rFonts w:hint="default" w:ascii="Times New Roman" w:hAnsi="Times New Roman" w:eastAsia="黑体" w:cs="Times New Roman"/>
                <w:b w:val="0"/>
                <w:bCs w:val="0"/>
                <w:sz w:val="21"/>
                <w:szCs w:val="20"/>
              </w:rPr>
              <w:t>利用系数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4" w:hRule="atLeast"/>
        </w:trPr>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
                <w:bCs/>
                <w:sz w:val="24"/>
                <w:szCs w:val="20"/>
              </w:rPr>
            </w:pPr>
            <w:r>
              <w:rPr>
                <w:rFonts w:hint="default" w:ascii="Times New Roman" w:hAnsi="Times New Roman" w:cs="Times New Roman"/>
                <w:b/>
                <w:bCs/>
                <w:sz w:val="24"/>
                <w:szCs w:val="20"/>
              </w:rPr>
              <w:t>巴中市</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sz w:val="24"/>
                <w:szCs w:val="20"/>
              </w:rPr>
            </w:pPr>
            <w:r>
              <w:rPr>
                <w:rFonts w:hint="default" w:ascii="Times New Roman" w:hAnsi="Times New Roman" w:cs="Times New Roman"/>
                <w:sz w:val="24"/>
                <w:szCs w:val="20"/>
              </w:rPr>
              <w:t>73.7</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sz w:val="24"/>
                <w:szCs w:val="20"/>
              </w:rPr>
            </w:pPr>
            <w:r>
              <w:rPr>
                <w:rFonts w:hint="default" w:ascii="Times New Roman" w:hAnsi="Times New Roman" w:cs="Times New Roman"/>
                <w:sz w:val="24"/>
                <w:szCs w:val="20"/>
              </w:rPr>
              <w:t>30.3</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sz w:val="24"/>
                <w:szCs w:val="20"/>
              </w:rPr>
            </w:pPr>
            <w:r>
              <w:rPr>
                <w:rFonts w:hint="default" w:ascii="Times New Roman" w:hAnsi="Times New Roman" w:cs="Times New Roman"/>
                <w:sz w:val="24"/>
                <w:szCs w:val="20"/>
              </w:rPr>
              <w:t>213</w:t>
            </w:r>
          </w:p>
        </w:tc>
        <w:tc>
          <w:tcPr>
            <w:tcW w:w="13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sz w:val="24"/>
                <w:szCs w:val="20"/>
              </w:rPr>
            </w:pPr>
            <w:r>
              <w:rPr>
                <w:rFonts w:hint="default" w:ascii="Times New Roman" w:hAnsi="Times New Roman" w:cs="Times New Roman"/>
                <w:sz w:val="24"/>
                <w:szCs w:val="20"/>
              </w:rPr>
              <w:t>202</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sz w:val="24"/>
                <w:szCs w:val="20"/>
              </w:rPr>
            </w:pPr>
            <w:r>
              <w:rPr>
                <w:rFonts w:hint="default" w:ascii="Times New Roman" w:hAnsi="Times New Roman" w:cs="Times New Roman"/>
                <w:sz w:val="24"/>
                <w:szCs w:val="20"/>
              </w:rPr>
              <w:t>131</w:t>
            </w: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sz w:val="24"/>
                <w:szCs w:val="20"/>
              </w:rPr>
            </w:pPr>
            <w:r>
              <w:rPr>
                <w:rFonts w:hint="default" w:ascii="Times New Roman" w:hAnsi="Times New Roman" w:cs="Times New Roman"/>
                <w:sz w:val="24"/>
                <w:szCs w:val="20"/>
              </w:rPr>
              <w:t>0.476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4" w:hRule="atLeast"/>
        </w:trPr>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
                <w:bCs/>
                <w:sz w:val="24"/>
                <w:szCs w:val="20"/>
              </w:rPr>
            </w:pPr>
            <w:r>
              <w:rPr>
                <w:rFonts w:hint="default" w:ascii="Times New Roman" w:hAnsi="Times New Roman" w:cs="Times New Roman"/>
                <w:b/>
                <w:bCs/>
                <w:sz w:val="24"/>
                <w:szCs w:val="20"/>
              </w:rPr>
              <w:t>四川省</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sz w:val="24"/>
                <w:szCs w:val="20"/>
              </w:rPr>
            </w:pPr>
            <w:r>
              <w:rPr>
                <w:rFonts w:hint="default" w:ascii="Times New Roman" w:hAnsi="Times New Roman" w:cs="Times New Roman"/>
                <w:sz w:val="24"/>
                <w:szCs w:val="20"/>
              </w:rPr>
              <w:t>48.7</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sz w:val="24"/>
                <w:szCs w:val="20"/>
              </w:rPr>
            </w:pPr>
            <w:r>
              <w:rPr>
                <w:rFonts w:hint="default" w:ascii="Times New Roman" w:hAnsi="Times New Roman" w:cs="Times New Roman"/>
                <w:sz w:val="24"/>
                <w:szCs w:val="20"/>
              </w:rPr>
              <w:t>17.5</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sz w:val="24"/>
                <w:szCs w:val="20"/>
              </w:rPr>
            </w:pPr>
            <w:r>
              <w:rPr>
                <w:rFonts w:hint="default" w:ascii="Times New Roman" w:hAnsi="Times New Roman" w:cs="Times New Roman"/>
                <w:sz w:val="24"/>
                <w:szCs w:val="20"/>
              </w:rPr>
              <w:t>359</w:t>
            </w:r>
          </w:p>
        </w:tc>
        <w:tc>
          <w:tcPr>
            <w:tcW w:w="13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sz w:val="24"/>
                <w:szCs w:val="20"/>
              </w:rPr>
            </w:pPr>
            <w:r>
              <w:rPr>
                <w:rFonts w:hint="default" w:ascii="Times New Roman" w:hAnsi="Times New Roman" w:cs="Times New Roman"/>
                <w:sz w:val="24"/>
                <w:szCs w:val="20"/>
              </w:rPr>
              <w:t>216</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sz w:val="24"/>
                <w:szCs w:val="20"/>
              </w:rPr>
            </w:pPr>
            <w:r>
              <w:rPr>
                <w:rFonts w:hint="default" w:ascii="Times New Roman" w:hAnsi="Times New Roman" w:cs="Times New Roman"/>
                <w:sz w:val="24"/>
                <w:szCs w:val="20"/>
              </w:rPr>
              <w:t>120</w:t>
            </w: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sz w:val="24"/>
                <w:szCs w:val="20"/>
              </w:rPr>
            </w:pPr>
            <w:r>
              <w:rPr>
                <w:rFonts w:hint="default" w:ascii="Times New Roman" w:hAnsi="Times New Roman" w:cs="Times New Roman"/>
                <w:sz w:val="24"/>
                <w:szCs w:val="20"/>
              </w:rPr>
              <w:t>0.484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4" w:hRule="atLeast"/>
        </w:trPr>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
                <w:bCs/>
                <w:sz w:val="24"/>
                <w:szCs w:val="20"/>
              </w:rPr>
            </w:pPr>
            <w:bookmarkStart w:id="29" w:name="_Toc24995"/>
            <w:bookmarkStart w:id="30" w:name="_Toc17368"/>
            <w:bookmarkStart w:id="31" w:name="_Toc607"/>
            <w:r>
              <w:rPr>
                <w:rFonts w:hint="default" w:ascii="Times New Roman" w:hAnsi="Times New Roman" w:cs="Times New Roman"/>
                <w:b/>
                <w:bCs/>
                <w:sz w:val="24"/>
                <w:szCs w:val="20"/>
              </w:rPr>
              <w:t>全 国</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sz w:val="24"/>
                <w:szCs w:val="20"/>
              </w:rPr>
            </w:pPr>
            <w:r>
              <w:rPr>
                <w:rFonts w:hint="default" w:ascii="Times New Roman" w:hAnsi="Times New Roman" w:cs="Times New Roman"/>
                <w:sz w:val="24"/>
                <w:szCs w:val="20"/>
              </w:rPr>
              <w:t>57.2</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sz w:val="24"/>
                <w:szCs w:val="20"/>
              </w:rPr>
            </w:pPr>
            <w:r>
              <w:rPr>
                <w:rFonts w:hint="default" w:ascii="Times New Roman" w:hAnsi="Times New Roman" w:cs="Times New Roman"/>
                <w:sz w:val="24"/>
                <w:szCs w:val="20"/>
              </w:rPr>
              <w:t>32.9</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sz w:val="24"/>
                <w:szCs w:val="20"/>
              </w:rPr>
            </w:pPr>
            <w:r>
              <w:rPr>
                <w:rFonts w:hint="default" w:ascii="Times New Roman" w:hAnsi="Times New Roman" w:cs="Times New Roman"/>
                <w:sz w:val="24"/>
                <w:szCs w:val="20"/>
              </w:rPr>
              <w:t>356</w:t>
            </w:r>
          </w:p>
        </w:tc>
        <w:tc>
          <w:tcPr>
            <w:tcW w:w="13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sz w:val="24"/>
                <w:szCs w:val="20"/>
              </w:rPr>
            </w:pPr>
            <w:r>
              <w:rPr>
                <w:rFonts w:hint="default" w:ascii="Times New Roman" w:hAnsi="Times New Roman" w:cs="Times New Roman"/>
                <w:sz w:val="24"/>
                <w:szCs w:val="20"/>
              </w:rPr>
              <w:t>207</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sz w:val="24"/>
                <w:szCs w:val="20"/>
              </w:rPr>
            </w:pPr>
            <w:r>
              <w:rPr>
                <w:rFonts w:hint="default" w:ascii="Times New Roman" w:hAnsi="Times New Roman" w:cs="Times New Roman"/>
                <w:sz w:val="24"/>
                <w:szCs w:val="20"/>
              </w:rPr>
              <w:t>100</w:t>
            </w: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sz w:val="24"/>
                <w:szCs w:val="20"/>
              </w:rPr>
            </w:pPr>
            <w:r>
              <w:rPr>
                <w:rFonts w:hint="default" w:ascii="Times New Roman" w:hAnsi="Times New Roman" w:cs="Times New Roman"/>
                <w:sz w:val="24"/>
                <w:szCs w:val="20"/>
              </w:rPr>
              <w:t>0.565</w:t>
            </w:r>
          </w:p>
        </w:tc>
      </w:tr>
      <w:bookmarkEnd w:id="28"/>
      <w:bookmarkEnd w:id="29"/>
      <w:bookmarkEnd w:id="30"/>
      <w:bookmarkEnd w:id="31"/>
    </w:tbl>
    <w:p>
      <w:pPr>
        <w:pageBreakBefore w:val="0"/>
        <w:widowControl w:val="0"/>
        <w:kinsoku/>
        <w:wordWrap/>
        <w:overflowPunct/>
        <w:topLinePunct w:val="0"/>
        <w:autoSpaceDE/>
        <w:autoSpaceDN/>
        <w:bidi w:val="0"/>
        <w:adjustRightInd/>
        <w:spacing w:line="540" w:lineRule="exact"/>
        <w:ind w:left="0" w:firstLine="643" w:firstLineChars="200"/>
        <w:jc w:val="both"/>
        <w:textAlignment w:val="auto"/>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二是节水意识不强。</w:t>
      </w:r>
      <w:r>
        <w:rPr>
          <w:rFonts w:hint="default" w:ascii="Times New Roman" w:hAnsi="Times New Roman" w:eastAsia="仿宋_GB2312" w:cs="Times New Roman"/>
          <w:sz w:val="32"/>
          <w:szCs w:val="32"/>
        </w:rPr>
        <w:t>由于巴中市处于亚热带季风湿润地区，人们对节水的重要性，紧迫性和长期性缺乏足够的认识。一段时间以来，人们认为水是作取之不尽、用之不竭的资源，不了解节约用水、合理用水、科学用水与减少城市污水排放、改善水环境之间的关系，缺乏科学、正确的用水观念，存在浪费水、污染水环境的现象。</w:t>
      </w:r>
    </w:p>
    <w:p>
      <w:pPr>
        <w:pageBreakBefore w:val="0"/>
        <w:widowControl w:val="0"/>
        <w:kinsoku/>
        <w:wordWrap/>
        <w:overflowPunct/>
        <w:topLinePunct w:val="0"/>
        <w:autoSpaceDE/>
        <w:autoSpaceDN/>
        <w:bidi w:val="0"/>
        <w:adjustRightInd/>
        <w:spacing w:line="540" w:lineRule="exact"/>
        <w:ind w:left="0" w:firstLine="643" w:firstLineChars="200"/>
        <w:jc w:val="both"/>
        <w:textAlignment w:val="auto"/>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三是行业节水基础工作薄弱。</w:t>
      </w:r>
      <w:r>
        <w:rPr>
          <w:rFonts w:hint="default" w:ascii="Times New Roman" w:hAnsi="Times New Roman" w:eastAsia="仿宋_GB2312" w:cs="Times New Roman"/>
          <w:sz w:val="32"/>
          <w:szCs w:val="32"/>
        </w:rPr>
        <w:t>农业节水有待充分挖掘潜力，一方面，由于缺乏骨干调蓄工程的调节，不能对径流的年际和年内变化进行充分调节，农田灌溉保证能力差，调节灌溉峰值期用水能力低，造成季节性缺水严重，加剧了水资源的供需矛盾，在南部经济较发达地区尤为明显。另一方面，农业灌溉用水效率不高，灌溉渠系建筑物年老失修，损毁严重，需要加固维修和配套设施建设的地方多，渠道防渗、管道输水及各种高效节水灌溉技术的普及率较低，农业节水管理机制也有待进一步完善。工业用水效率发展不平衡，近年来巴中市的工业用水效率得到大幅提高，但节水水平仍然落后于全省平均水平，各城镇、各行业用水效率差距较大，企业中水回用、非常规水利用水平较低，亟待进一步加强。</w:t>
      </w:r>
    </w:p>
    <w:p>
      <w:pPr>
        <w:pageBreakBefore w:val="0"/>
        <w:widowControl w:val="0"/>
        <w:kinsoku/>
        <w:wordWrap/>
        <w:overflowPunct/>
        <w:topLinePunct w:val="0"/>
        <w:autoSpaceDE/>
        <w:autoSpaceDN/>
        <w:bidi w:val="0"/>
        <w:adjustRightInd/>
        <w:spacing w:line="540" w:lineRule="exact"/>
        <w:ind w:left="0" w:firstLine="643" w:firstLineChars="200"/>
        <w:jc w:val="both"/>
        <w:textAlignment w:val="auto"/>
        <w:outlineLvl w:val="2"/>
        <w:rPr>
          <w:rFonts w:hint="default" w:ascii="Times New Roman" w:hAnsi="Times New Roman" w:eastAsia="仿宋_GB2312" w:cs="Times New Roman"/>
          <w:spacing w:val="-6"/>
          <w:sz w:val="32"/>
          <w:szCs w:val="32"/>
        </w:rPr>
      </w:pPr>
      <w:r>
        <w:rPr>
          <w:rFonts w:hint="default" w:ascii="Times New Roman" w:hAnsi="Times New Roman" w:eastAsia="仿宋_GB2312" w:cs="Times New Roman"/>
          <w:b/>
          <w:bCs/>
          <w:sz w:val="32"/>
          <w:szCs w:val="32"/>
        </w:rPr>
        <w:t>四是节水投入和激励机制不完善。</w:t>
      </w:r>
      <w:r>
        <w:rPr>
          <w:rFonts w:hint="default" w:ascii="Times New Roman" w:hAnsi="Times New Roman" w:eastAsia="仿宋_GB2312" w:cs="Times New Roman"/>
          <w:sz w:val="32"/>
          <w:szCs w:val="32"/>
        </w:rPr>
        <w:t>目前，虽然制定了一系列节水激励的政策措施，但存在激励措施不完善、缺乏落地的具体细则、操作规程和激励办法。一是现行政策法规中，有财政扶持、金融支持、税收优惠等方面的文件，但规定较为原则、宽泛，缺乏针对性，实用性和可操作性不强，不能满足节水工作和企业等用水户需求。二是优化产业布局、结构中，需要开展大量节水项目，研发推广利用节水、减排等相应技术措施，而目前该类项目奖补资金较少、标准低、覆盖面小、措施不具体，由于投入产出比和现有各种约束机制力度不够等，部分企业用水户优化产业、开展节水技术改造的积极性不高。三是当前广泛开展的节水载体创建活动，缺乏必要的资金支持，影响各单位的创建质量和工作</w:t>
      </w:r>
      <w:r>
        <w:rPr>
          <w:rFonts w:hint="default" w:ascii="Times New Roman" w:hAnsi="Times New Roman" w:eastAsia="仿宋_GB2312" w:cs="Times New Roman"/>
          <w:spacing w:val="-6"/>
          <w:sz w:val="32"/>
          <w:szCs w:val="32"/>
        </w:rPr>
        <w:t>积极性。巴中市节水奖补政策尚未实施落地，不利于节水工作开展。</w:t>
      </w:r>
    </w:p>
    <w:p>
      <w:pPr>
        <w:pStyle w:val="5"/>
        <w:pageBreakBefore w:val="0"/>
        <w:widowControl w:val="0"/>
        <w:kinsoku/>
        <w:wordWrap/>
        <w:overflowPunct/>
        <w:topLinePunct w:val="0"/>
        <w:autoSpaceDE/>
        <w:autoSpaceDN/>
        <w:bidi w:val="0"/>
        <w:adjustRightInd/>
        <w:spacing w:line="540" w:lineRule="exact"/>
        <w:ind w:left="0" w:firstLine="643" w:firstLineChars="200"/>
        <w:jc w:val="both"/>
        <w:textAlignment w:val="auto"/>
        <w:rPr>
          <w:rFonts w:hint="default" w:ascii="Times New Roman" w:hAnsi="Times New Roman" w:eastAsia="楷体_GB2312" w:cs="Times New Roman"/>
          <w:color w:val="auto"/>
          <w:sz w:val="32"/>
          <w:szCs w:val="32"/>
        </w:rPr>
      </w:pPr>
      <w:bookmarkStart w:id="32" w:name="_Toc11780"/>
      <w:bookmarkStart w:id="33" w:name="_Toc21240"/>
      <w:bookmarkStart w:id="34" w:name="_Toc32665"/>
      <w:bookmarkStart w:id="35" w:name="_Toc31730"/>
      <w:bookmarkStart w:id="36" w:name="_Toc80693605"/>
      <w:bookmarkStart w:id="37" w:name="_Toc100673800"/>
      <w:bookmarkStart w:id="38" w:name="_Toc25922"/>
      <w:r>
        <w:rPr>
          <w:rFonts w:hint="default" w:ascii="Times New Roman" w:hAnsi="Times New Roman" w:eastAsia="楷体_GB2312" w:cs="Times New Roman"/>
          <w:color w:val="auto"/>
          <w:sz w:val="32"/>
          <w:szCs w:val="32"/>
        </w:rPr>
        <w:t>（三）形势要求</w:t>
      </w:r>
      <w:bookmarkEnd w:id="32"/>
      <w:bookmarkEnd w:id="33"/>
      <w:bookmarkEnd w:id="34"/>
      <w:bookmarkEnd w:id="35"/>
      <w:bookmarkEnd w:id="36"/>
      <w:bookmarkEnd w:id="37"/>
      <w:bookmarkEnd w:id="38"/>
    </w:p>
    <w:p>
      <w:pPr>
        <w:pStyle w:val="24"/>
        <w:pageBreakBefore w:val="0"/>
        <w:widowControl w:val="0"/>
        <w:kinsoku/>
        <w:wordWrap/>
        <w:overflowPunct/>
        <w:topLinePunct w:val="0"/>
        <w:autoSpaceDE/>
        <w:autoSpaceDN/>
        <w:bidi w:val="0"/>
        <w:adjustRightInd/>
        <w:spacing w:line="540" w:lineRule="exact"/>
        <w:ind w:left="0" w:firstLine="643" w:firstLineChars="200"/>
        <w:jc w:val="both"/>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一是贯彻落实中央、国务院和省委省政府重大决策部署的必然要求。</w:t>
      </w:r>
      <w:r>
        <w:rPr>
          <w:rFonts w:hint="default" w:ascii="Times New Roman" w:hAnsi="Times New Roman" w:eastAsia="仿宋_GB2312" w:cs="Times New Roman"/>
          <w:b w:val="0"/>
          <w:sz w:val="32"/>
          <w:szCs w:val="32"/>
        </w:rPr>
        <w:t>十八大以来，中央高度重视生态文明建设，2014年3月，习近平总书记从保障国家水安全的战略高度，提出了“节水优先、空间均衡、系统治理、两手发力”新时代治水思路。党的十九大报告明确提出实施国家节水行动，标志着节水成为国家意志和全民行动。十九届四中全会提出“坚持节约资源和保护环境的基本国策”，十九届五中全会提出“坚持节约优先、保护优先”的要求。省委省政府也提出建设美丽四川，实施绿色发展和高质量发展的重大部署，彭清华书记要求增强长江、黄河“上游意识”，都要求通过节约集约利用的方式，促进水资源的高效利用和经济社会的可持续发展、绿色发展。</w:t>
      </w:r>
    </w:p>
    <w:p>
      <w:pPr>
        <w:pStyle w:val="24"/>
        <w:pageBreakBefore w:val="0"/>
        <w:widowControl w:val="0"/>
        <w:kinsoku/>
        <w:wordWrap/>
        <w:overflowPunct/>
        <w:topLinePunct w:val="0"/>
        <w:autoSpaceDE/>
        <w:autoSpaceDN/>
        <w:bidi w:val="0"/>
        <w:adjustRightInd/>
        <w:spacing w:line="540" w:lineRule="exact"/>
        <w:ind w:left="0" w:firstLine="643" w:firstLineChars="200"/>
        <w:jc w:val="both"/>
        <w:textAlignment w:val="auto"/>
        <w:rPr>
          <w:rFonts w:hint="default" w:ascii="Times New Roman" w:hAnsi="Times New Roman" w:eastAsia="仿宋_GB2312" w:cs="Times New Roman"/>
          <w:b w:val="0"/>
          <w:sz w:val="32"/>
          <w:szCs w:val="32"/>
        </w:rPr>
      </w:pPr>
      <w:bookmarkStart w:id="39" w:name="_Toc9340"/>
      <w:bookmarkStart w:id="40" w:name="_Toc20125"/>
      <w:bookmarkStart w:id="41" w:name="_Toc3682"/>
      <w:r>
        <w:rPr>
          <w:rFonts w:hint="default" w:ascii="Times New Roman" w:hAnsi="Times New Roman" w:eastAsia="仿宋_GB2312" w:cs="Times New Roman"/>
          <w:sz w:val="32"/>
          <w:szCs w:val="32"/>
        </w:rPr>
        <w:t>二是四川水利高质量发展“3226”总体工作思路的新要求</w:t>
      </w:r>
      <w:bookmarkEnd w:id="39"/>
      <w:bookmarkEnd w:id="40"/>
      <w:bookmarkEnd w:id="41"/>
      <w:r>
        <w:rPr>
          <w:rFonts w:hint="default" w:ascii="Times New Roman" w:hAnsi="Times New Roman" w:eastAsia="仿宋_GB2312" w:cs="Times New Roman"/>
          <w:sz w:val="32"/>
          <w:szCs w:val="32"/>
        </w:rPr>
        <w:t>。</w:t>
      </w:r>
      <w:r>
        <w:rPr>
          <w:rFonts w:hint="default" w:ascii="Times New Roman" w:hAnsi="Times New Roman" w:eastAsia="仿宋_GB2312" w:cs="Times New Roman"/>
          <w:b w:val="0"/>
          <w:sz w:val="32"/>
          <w:szCs w:val="32"/>
        </w:rPr>
        <w:t>中共四川省水利厅党组面向“十四五”规划任务和2035年远景目标，提出了新时期四川水利工作“三大目标、二大体系、二条底线和六项工作”即“3226”总体工作思路，为全省节水工作指明了主攻方向、战略目标和重点任务。节水优先是基于水资源的稀缺性而提出的，节水不是简单的减量，还应提升效率和效益，实现水资源节约集约利用。在做好除害兴利、水资源开发利用等传统强项的同时，实现从供水管理向需水管理，从工程开源向节约集约利用转变。</w:t>
      </w:r>
    </w:p>
    <w:p>
      <w:pPr>
        <w:pStyle w:val="24"/>
        <w:pageBreakBefore w:val="0"/>
        <w:widowControl w:val="0"/>
        <w:kinsoku/>
        <w:wordWrap/>
        <w:overflowPunct/>
        <w:topLinePunct w:val="0"/>
        <w:autoSpaceDE/>
        <w:autoSpaceDN/>
        <w:bidi w:val="0"/>
        <w:adjustRightInd/>
        <w:spacing w:line="540" w:lineRule="exact"/>
        <w:ind w:left="0" w:firstLine="643" w:firstLineChars="200"/>
        <w:jc w:val="both"/>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三是巴中市水利高质量发展的迫切需求。</w:t>
      </w:r>
      <w:r>
        <w:rPr>
          <w:rFonts w:hint="default" w:ascii="Times New Roman" w:hAnsi="Times New Roman" w:eastAsia="仿宋_GB2312" w:cs="Times New Roman"/>
          <w:b w:val="0"/>
          <w:sz w:val="32"/>
          <w:szCs w:val="32"/>
        </w:rPr>
        <w:t>随着中央、省委省政府支持革命老区加快发展的力度不断加大，成渝地区双城经济圈建设辐射带动、川陕革命老区核心城市高质量发展试点、川东北经济区协同发展等重大战略，用水刚性需求持续增加，供需矛盾日益突出。节水对筑牢粮食安全、能源安全、生态安全等地区安全屏障意义重大，也是解决水资源短缺问题的重要举措。当前，巴中市区域性、季节性、工程型缺水问题较突出，今后相当长时间内，刚性用水需求仍然呈增长态势，水资源供需矛盾将更加突出。因此，全社会必须增强水忧患和水危机意识，高度重视水资源的集约节约利用，坚持节水优先，转变用水方式，优化调整产业结构，加强水资源精细化管理，从对经济社会发展的支撑保障向支撑保障与引导约束并重转变。</w:t>
      </w:r>
      <w:bookmarkStart w:id="42" w:name="_Toc14643"/>
      <w:bookmarkStart w:id="43" w:name="_Toc31938"/>
      <w:bookmarkStart w:id="44" w:name="_Toc100673801"/>
      <w:bookmarkStart w:id="45" w:name="_Toc9252"/>
      <w:bookmarkStart w:id="46" w:name="_Toc80693606"/>
      <w:bookmarkStart w:id="47" w:name="_Toc32266"/>
      <w:bookmarkStart w:id="48" w:name="_Toc12625"/>
    </w:p>
    <w:p>
      <w:pPr>
        <w:pStyle w:val="4"/>
        <w:pageBreakBefore w:val="0"/>
        <w:widowControl w:val="0"/>
        <w:kinsoku/>
        <w:wordWrap/>
        <w:overflowPunct/>
        <w:topLinePunct w:val="0"/>
        <w:autoSpaceDE/>
        <w:autoSpaceDN/>
        <w:bidi w:val="0"/>
        <w:adjustRightInd/>
        <w:snapToGrid w:val="0"/>
        <w:spacing w:before="0" w:after="0" w:line="540" w:lineRule="exact"/>
        <w:ind w:firstLine="640" w:firstLineChars="200"/>
        <w:jc w:val="both"/>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二、总体要求</w:t>
      </w:r>
      <w:bookmarkEnd w:id="42"/>
      <w:bookmarkEnd w:id="43"/>
      <w:bookmarkEnd w:id="44"/>
      <w:bookmarkEnd w:id="45"/>
      <w:bookmarkEnd w:id="46"/>
      <w:bookmarkEnd w:id="47"/>
      <w:bookmarkEnd w:id="48"/>
      <w:bookmarkStart w:id="49" w:name="_Toc80693607"/>
    </w:p>
    <w:bookmarkEnd w:id="49"/>
    <w:p>
      <w:pPr>
        <w:pStyle w:val="5"/>
        <w:pageBreakBefore w:val="0"/>
        <w:widowControl w:val="0"/>
        <w:kinsoku/>
        <w:wordWrap/>
        <w:overflowPunct/>
        <w:topLinePunct w:val="0"/>
        <w:autoSpaceDE/>
        <w:autoSpaceDN/>
        <w:bidi w:val="0"/>
        <w:adjustRightInd/>
        <w:spacing w:line="540" w:lineRule="exact"/>
        <w:ind w:firstLine="643" w:firstLineChars="200"/>
        <w:jc w:val="both"/>
        <w:textAlignment w:val="auto"/>
        <w:rPr>
          <w:rFonts w:hint="default" w:ascii="Times New Roman" w:hAnsi="Times New Roman" w:eastAsia="楷体_GB2312" w:cs="Times New Roman"/>
          <w:color w:val="auto"/>
          <w:sz w:val="32"/>
          <w:szCs w:val="32"/>
        </w:rPr>
      </w:pPr>
      <w:bookmarkStart w:id="50" w:name="_Toc100673802"/>
      <w:bookmarkStart w:id="51" w:name="_Toc22551"/>
      <w:bookmarkStart w:id="52" w:name="_Toc18229"/>
      <w:bookmarkStart w:id="53" w:name="_Toc16830"/>
      <w:bookmarkStart w:id="54" w:name="_Toc24560"/>
      <w:bookmarkStart w:id="55" w:name="_Toc7766"/>
      <w:r>
        <w:rPr>
          <w:rFonts w:hint="default" w:ascii="Times New Roman" w:hAnsi="Times New Roman" w:eastAsia="楷体_GB2312" w:cs="Times New Roman"/>
          <w:color w:val="auto"/>
          <w:sz w:val="32"/>
          <w:szCs w:val="32"/>
        </w:rPr>
        <w:t>（一）指导思想</w:t>
      </w:r>
      <w:bookmarkEnd w:id="50"/>
      <w:bookmarkEnd w:id="51"/>
      <w:bookmarkEnd w:id="52"/>
      <w:bookmarkEnd w:id="53"/>
      <w:bookmarkEnd w:id="54"/>
      <w:bookmarkEnd w:id="55"/>
    </w:p>
    <w:p>
      <w:pPr>
        <w:pageBreakBefore w:val="0"/>
        <w:widowControl w:val="0"/>
        <w:kinsoku/>
        <w:wordWrap/>
        <w:overflowPunct/>
        <w:topLinePunct w:val="0"/>
        <w:autoSpaceDE/>
        <w:autoSpaceDN/>
        <w:bidi w:val="0"/>
        <w:adjustRightIn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全面贯彻党的十九大和十九届二中、三中、四中、五中全会精神，牢固树立新发展理念，深入落实“节水优先、空间均衡、系统治理、两手发力”的治水思路，切实推动全社会用水方式向节约集约转变。按照新时代实现四川水利高质量发展“3226”总体工作思路，结合“一主四片”水生产力布局区域特点，聚焦重点任务和重点领域，着力完善节水产业政策，优化产业布局和产业结构；着力建立水资源刚性约束制度，强化节约用水监督管理；着力推进节水基础设施现代化改造，提升持续节水能力；着力推进节水市场化改革，充分发挥水价水市场在水资源配置中的主体地位；着力增强全社会节水意识，提高水资源利用效率，形成全民全社会节水的良好局面。把节约用水贯穿于经济社会发展和生态文明建设全过程，构建节水型农业、工业、生活服务业和良好的水生态环境，形成节约用水的生产方式和消费方式，为</w:t>
      </w:r>
      <w:r>
        <w:rPr>
          <w:rFonts w:hint="default" w:ascii="Times New Roman" w:hAnsi="Times New Roman" w:eastAsia="仿宋_GB2312" w:cs="Times New Roman"/>
          <w:spacing w:val="-6"/>
          <w:sz w:val="32"/>
          <w:szCs w:val="32"/>
        </w:rPr>
        <w:t>促进经济社会可持续发展和全面建成小康社会提供水资源保障。</w:t>
      </w:r>
    </w:p>
    <w:p>
      <w:pPr>
        <w:pStyle w:val="5"/>
        <w:pageBreakBefore w:val="0"/>
        <w:widowControl w:val="0"/>
        <w:kinsoku/>
        <w:wordWrap/>
        <w:overflowPunct/>
        <w:topLinePunct w:val="0"/>
        <w:autoSpaceDE/>
        <w:autoSpaceDN/>
        <w:bidi w:val="0"/>
        <w:adjustRightInd/>
        <w:spacing w:line="540" w:lineRule="exact"/>
        <w:ind w:firstLine="643" w:firstLineChars="200"/>
        <w:jc w:val="both"/>
        <w:textAlignment w:val="auto"/>
        <w:rPr>
          <w:rFonts w:hint="default" w:ascii="Times New Roman" w:hAnsi="Times New Roman" w:eastAsia="楷体_GB2312" w:cs="Times New Roman"/>
          <w:color w:val="auto"/>
          <w:sz w:val="32"/>
          <w:szCs w:val="32"/>
        </w:rPr>
      </w:pPr>
      <w:bookmarkStart w:id="56" w:name="_Toc25401"/>
      <w:bookmarkStart w:id="57" w:name="_Toc11440"/>
      <w:bookmarkStart w:id="58" w:name="_Toc31001"/>
      <w:bookmarkStart w:id="59" w:name="_Toc100673803"/>
      <w:bookmarkStart w:id="60" w:name="_Toc7726"/>
      <w:bookmarkStart w:id="61" w:name="_Toc80693608"/>
      <w:bookmarkStart w:id="62" w:name="_Toc28446"/>
      <w:r>
        <w:rPr>
          <w:rFonts w:hint="default" w:ascii="Times New Roman" w:hAnsi="Times New Roman" w:eastAsia="楷体_GB2312" w:cs="Times New Roman"/>
          <w:color w:val="auto"/>
          <w:sz w:val="32"/>
          <w:szCs w:val="32"/>
        </w:rPr>
        <w:t>（二）基本原则</w:t>
      </w:r>
      <w:bookmarkEnd w:id="56"/>
      <w:bookmarkEnd w:id="57"/>
      <w:bookmarkEnd w:id="58"/>
      <w:bookmarkEnd w:id="59"/>
      <w:bookmarkEnd w:id="60"/>
      <w:bookmarkEnd w:id="61"/>
      <w:bookmarkEnd w:id="62"/>
    </w:p>
    <w:p>
      <w:pPr>
        <w:pageBreakBefore w:val="0"/>
        <w:widowControl w:val="0"/>
        <w:kinsoku/>
        <w:wordWrap/>
        <w:overflowPunct/>
        <w:topLinePunct w:val="0"/>
        <w:autoSpaceDE/>
        <w:autoSpaceDN/>
        <w:bidi w:val="0"/>
        <w:adjustRightInd/>
        <w:spacing w:line="54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以人为本，优化配置。</w:t>
      </w:r>
      <w:r>
        <w:rPr>
          <w:rFonts w:hint="default" w:ascii="Times New Roman" w:hAnsi="Times New Roman" w:eastAsia="仿宋_GB2312" w:cs="Times New Roman"/>
          <w:sz w:val="32"/>
          <w:szCs w:val="32"/>
        </w:rPr>
        <w:t>坚持以人为本，促进人水和谐，实现水资源统一管理，协调生活、生产、生态环境用水，优先保障居民生活用水。优化配置水资源，改变用水观念，提高供用水效率和效益，促进经济、资源、环境协调发展。</w:t>
      </w:r>
    </w:p>
    <w:p>
      <w:pPr>
        <w:pageBreakBefore w:val="0"/>
        <w:widowControl w:val="0"/>
        <w:kinsoku/>
        <w:wordWrap/>
        <w:overflowPunct/>
        <w:topLinePunct w:val="0"/>
        <w:autoSpaceDE/>
        <w:autoSpaceDN/>
        <w:bidi w:val="0"/>
        <w:adjustRightInd/>
        <w:spacing w:line="54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因地制宜、量水发展。</w:t>
      </w:r>
      <w:r>
        <w:rPr>
          <w:rFonts w:hint="default" w:ascii="Times New Roman" w:hAnsi="Times New Roman" w:eastAsia="仿宋_GB2312" w:cs="Times New Roman"/>
          <w:sz w:val="32"/>
          <w:szCs w:val="32"/>
        </w:rPr>
        <w:t>严格水资源刚性约束，实施严格管水、科学统筹，加强水资源供用耗排等各环节监管，坚决抑制不合理用水需求。合理规划人口、城市和产业发展，深化用水总量和强度控制，推进水资源节约集约利用。</w:t>
      </w:r>
    </w:p>
    <w:p>
      <w:pPr>
        <w:pageBreakBefore w:val="0"/>
        <w:widowControl w:val="0"/>
        <w:kinsoku/>
        <w:wordWrap/>
        <w:overflowPunct/>
        <w:topLinePunct w:val="0"/>
        <w:autoSpaceDE/>
        <w:autoSpaceDN/>
        <w:bidi w:val="0"/>
        <w:adjustRightInd/>
        <w:spacing w:line="54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夯实基础、重点突破。</w:t>
      </w:r>
      <w:r>
        <w:rPr>
          <w:rFonts w:hint="default" w:ascii="Times New Roman" w:hAnsi="Times New Roman" w:eastAsia="仿宋_GB2312" w:cs="Times New Roman"/>
          <w:sz w:val="32"/>
          <w:szCs w:val="32"/>
        </w:rPr>
        <w:t xml:space="preserve">持续推进节水基础设施完善和节水监管能力提升，夯实节水基础，实施重大节水控水工程，推进重点领域和重点区域节水突破，全面提升全市节水能力。 </w:t>
      </w:r>
    </w:p>
    <w:p>
      <w:pPr>
        <w:pageBreakBefore w:val="0"/>
        <w:widowControl w:val="0"/>
        <w:kinsoku/>
        <w:wordWrap/>
        <w:overflowPunct/>
        <w:topLinePunct w:val="0"/>
        <w:autoSpaceDE/>
        <w:autoSpaceDN/>
        <w:bidi w:val="0"/>
        <w:adjustRightInd/>
        <w:spacing w:line="54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分步推进、分类施策。</w:t>
      </w:r>
      <w:r>
        <w:rPr>
          <w:rFonts w:hint="default" w:ascii="Times New Roman" w:hAnsi="Times New Roman" w:eastAsia="仿宋_GB2312" w:cs="Times New Roman"/>
          <w:sz w:val="32"/>
          <w:szCs w:val="32"/>
        </w:rPr>
        <w:t xml:space="preserve">根据流域与区域水资源特点，结合水资源开发利用状况及各县节水实际需求，以近、远期两个阶段有步骤地推进节水措施，推动节水技术与工艺创新，注重实效，制订分区、分类节水目标任务和切实可行的节水措施。 </w:t>
      </w:r>
    </w:p>
    <w:p>
      <w:pPr>
        <w:pageBreakBefore w:val="0"/>
        <w:widowControl w:val="0"/>
        <w:kinsoku/>
        <w:wordWrap/>
        <w:overflowPunct/>
        <w:topLinePunct w:val="0"/>
        <w:autoSpaceDE/>
        <w:autoSpaceDN/>
        <w:bidi w:val="0"/>
        <w:adjustRightInd/>
        <w:spacing w:line="54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制度创新、科技引领。</w:t>
      </w:r>
      <w:r>
        <w:rPr>
          <w:rFonts w:hint="default" w:ascii="Times New Roman" w:hAnsi="Times New Roman" w:eastAsia="仿宋_GB2312" w:cs="Times New Roman"/>
          <w:sz w:val="32"/>
          <w:szCs w:val="32"/>
        </w:rPr>
        <w:t>健全完善节水政策法规体系，充分发挥政府和市场两手作用，不断增强节水内生动力。强化科技支撑，推广先进适用节水技术与用水工艺，加快成果转化，推进节水技术装备产品研发及产业化。</w:t>
      </w:r>
    </w:p>
    <w:p>
      <w:pPr>
        <w:pageBreakBefore w:val="0"/>
        <w:widowControl w:val="0"/>
        <w:kinsoku/>
        <w:wordWrap/>
        <w:overflowPunct/>
        <w:topLinePunct w:val="0"/>
        <w:autoSpaceDE/>
        <w:autoSpaceDN/>
        <w:bidi w:val="0"/>
        <w:adjustRightInd/>
        <w:spacing w:line="54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落实责任、严格考核。</w:t>
      </w:r>
      <w:r>
        <w:rPr>
          <w:rFonts w:hint="default" w:ascii="Times New Roman" w:hAnsi="Times New Roman" w:eastAsia="仿宋_GB2312" w:cs="Times New Roman"/>
          <w:sz w:val="32"/>
          <w:szCs w:val="32"/>
        </w:rPr>
        <w:t>充分发挥政府对节水的引导和规制作用，加强部门合作，明确任务分工，压实目标责任；健全节水考核监督制度，强化节水激励，严格责任追究。</w:t>
      </w:r>
    </w:p>
    <w:p>
      <w:pPr>
        <w:pStyle w:val="5"/>
        <w:pageBreakBefore w:val="0"/>
        <w:widowControl w:val="0"/>
        <w:kinsoku/>
        <w:wordWrap/>
        <w:overflowPunct/>
        <w:topLinePunct w:val="0"/>
        <w:autoSpaceDE/>
        <w:autoSpaceDN/>
        <w:bidi w:val="0"/>
        <w:adjustRightInd/>
        <w:spacing w:line="540" w:lineRule="exact"/>
        <w:ind w:firstLine="643" w:firstLineChars="200"/>
        <w:jc w:val="both"/>
        <w:textAlignment w:val="auto"/>
        <w:rPr>
          <w:rFonts w:hint="default" w:ascii="Times New Roman" w:hAnsi="Times New Roman" w:eastAsia="楷体_GB2312" w:cs="Times New Roman"/>
          <w:color w:val="auto"/>
          <w:sz w:val="32"/>
          <w:szCs w:val="32"/>
        </w:rPr>
      </w:pPr>
      <w:bookmarkStart w:id="63" w:name="_Toc27218"/>
      <w:bookmarkStart w:id="64" w:name="_Toc20243"/>
      <w:bookmarkStart w:id="65" w:name="_Toc80693609"/>
      <w:bookmarkStart w:id="66" w:name="_Toc29505"/>
      <w:bookmarkStart w:id="67" w:name="_Toc1233"/>
      <w:bookmarkStart w:id="68" w:name="_Toc100673804"/>
      <w:bookmarkStart w:id="69" w:name="_Toc30865"/>
      <w:r>
        <w:rPr>
          <w:rFonts w:hint="default" w:ascii="Times New Roman" w:hAnsi="Times New Roman" w:eastAsia="楷体_GB2312" w:cs="Times New Roman"/>
          <w:color w:val="auto"/>
          <w:sz w:val="32"/>
          <w:szCs w:val="32"/>
        </w:rPr>
        <w:t>（三）规划目标</w:t>
      </w:r>
      <w:bookmarkEnd w:id="63"/>
      <w:bookmarkEnd w:id="64"/>
      <w:bookmarkEnd w:id="65"/>
      <w:bookmarkEnd w:id="66"/>
      <w:bookmarkEnd w:id="67"/>
      <w:bookmarkEnd w:id="68"/>
      <w:bookmarkEnd w:id="69"/>
    </w:p>
    <w:p>
      <w:pPr>
        <w:pageBreakBefore w:val="0"/>
        <w:widowControl w:val="0"/>
        <w:kinsoku/>
        <w:wordWrap/>
        <w:overflowPunct/>
        <w:topLinePunct w:val="0"/>
        <w:autoSpaceDE/>
        <w:autoSpaceDN/>
        <w:bidi w:val="0"/>
        <w:adjustRightIn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规划旨在建立科学体系，强化节水管理；合理配置资源，提高用水效率；减少污水排放，保护生态环境；调整产业结构，培育节水产业；增强节水意识，建设节水社会。到2035年，形成符合巴中市实际的节水政策制度体系和标准体系、完善的市场调节机制、先进的技术支撑体系，让节水护水惜水观念深入人心，成为全社会的自觉行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近期（2025年），社会节水型生产和生活方式初步建立，节水意识显著提高，节水产业初具规模，非常规水利用占比进一步增大，用水效率和效益显著提高，全社会节水意识明显增强。全市用水总量控制在7.1亿 m³以内，万元工业增加值用水量控制在25.4m³以内，农田灌溉水利用系数提高到0.50以上。城市公共供水管网漏损率小于9.5%，县级以上城市污水集中处</w:t>
      </w:r>
      <w:r>
        <w:rPr>
          <w:rFonts w:hint="default" w:ascii="Times New Roman" w:hAnsi="Times New Roman" w:eastAsia="仿宋_GB2312" w:cs="Times New Roman"/>
          <w:spacing w:val="-6"/>
          <w:sz w:val="32"/>
          <w:szCs w:val="32"/>
        </w:rPr>
        <w:t>理率提高到90%，各项节水指标达到全省同类地区中等以上水平。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远期（2035年），严格控制全市用水总量，全市用水总量控制在7.4亿m³以内，水资源利用效率大幅提升，形成水资源利用与发展规模、产业结构和空间布局协调发展的新格局。万元工业增加值用水量控制在23.42m³以内，农田灌溉水利用系数提高到0.60以上。城市公共供水管网漏损率小于 9%；县级以上城市污水集中处理率提高到95%；各项节水指标达到全省同类地区先进水平。</w:t>
      </w:r>
    </w:p>
    <w:p>
      <w:pPr>
        <w:pStyle w:val="32"/>
        <w:ind w:firstLine="1405" w:firstLineChars="500"/>
        <w:rPr>
          <w:rFonts w:hint="default" w:ascii="Times New Roman" w:hAnsi="Times New Roman" w:cs="Times New Roman"/>
        </w:rPr>
      </w:pPr>
      <w:r>
        <w:rPr>
          <w:rFonts w:hint="default" w:ascii="Times New Roman" w:hAnsi="Times New Roman" w:cs="Times New Roman"/>
        </w:rPr>
        <w:t>表2.1   巴中市节水型社会建设总体目标表</w:t>
      </w:r>
    </w:p>
    <w:tbl>
      <w:tblPr>
        <w:tblStyle w:val="18"/>
        <w:tblW w:w="8782" w:type="dxa"/>
        <w:jc w:val="center"/>
        <w:tblLayout w:type="fixed"/>
        <w:tblCellMar>
          <w:top w:w="0" w:type="dxa"/>
          <w:left w:w="0" w:type="dxa"/>
          <w:bottom w:w="0" w:type="dxa"/>
          <w:right w:w="0" w:type="dxa"/>
        </w:tblCellMar>
      </w:tblPr>
      <w:tblGrid>
        <w:gridCol w:w="934"/>
        <w:gridCol w:w="2838"/>
        <w:gridCol w:w="1232"/>
        <w:gridCol w:w="1484"/>
        <w:gridCol w:w="2294"/>
      </w:tblGrid>
      <w:tr>
        <w:tblPrEx>
          <w:tblCellMar>
            <w:top w:w="0" w:type="dxa"/>
            <w:left w:w="0" w:type="dxa"/>
            <w:bottom w:w="0" w:type="dxa"/>
            <w:right w:w="0" w:type="dxa"/>
          </w:tblCellMar>
        </w:tblPrEx>
        <w:trPr>
          <w:cantSplit/>
          <w:trHeight w:val="345" w:hRule="atLeast"/>
          <w:tblHeader/>
          <w:jc w:val="center"/>
        </w:trPr>
        <w:tc>
          <w:tcPr>
            <w:tcW w:w="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eastAsia="黑体" w:cs="Times New Roman"/>
                <w:b w:val="0"/>
                <w:bCs w:val="0"/>
                <w:kern w:val="0"/>
                <w:sz w:val="22"/>
                <w:szCs w:val="22"/>
                <w:lang w:bidi="ar"/>
              </w:rPr>
            </w:pPr>
            <w:r>
              <w:rPr>
                <w:rFonts w:hint="default" w:ascii="Times New Roman" w:hAnsi="Times New Roman" w:eastAsia="黑体" w:cs="Times New Roman"/>
                <w:b w:val="0"/>
                <w:bCs w:val="0"/>
                <w:kern w:val="0"/>
                <w:sz w:val="22"/>
                <w:szCs w:val="22"/>
                <w:lang w:bidi="ar"/>
              </w:rPr>
              <w:t>序号</w:t>
            </w:r>
          </w:p>
        </w:tc>
        <w:tc>
          <w:tcPr>
            <w:tcW w:w="283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eastAsia="黑体" w:cs="Times New Roman"/>
                <w:b w:val="0"/>
                <w:bCs w:val="0"/>
                <w:kern w:val="0"/>
                <w:sz w:val="22"/>
                <w:szCs w:val="22"/>
                <w:lang w:bidi="ar"/>
              </w:rPr>
            </w:pPr>
            <w:r>
              <w:rPr>
                <w:rFonts w:hint="default" w:ascii="Times New Roman" w:hAnsi="Times New Roman" w:eastAsia="黑体" w:cs="Times New Roman"/>
                <w:b w:val="0"/>
                <w:bCs w:val="0"/>
                <w:kern w:val="0"/>
                <w:sz w:val="22"/>
                <w:szCs w:val="22"/>
                <w:lang w:bidi="ar"/>
              </w:rPr>
              <w:t>具体内容</w:t>
            </w:r>
          </w:p>
        </w:tc>
        <w:tc>
          <w:tcPr>
            <w:tcW w:w="123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auto"/>
              <w:ind w:firstLine="220" w:firstLineChars="100"/>
              <w:jc w:val="center"/>
              <w:textAlignment w:val="top"/>
              <w:rPr>
                <w:rFonts w:hint="default" w:ascii="Times New Roman" w:hAnsi="Times New Roman" w:eastAsia="黑体" w:cs="Times New Roman"/>
                <w:b w:val="0"/>
                <w:bCs w:val="0"/>
                <w:kern w:val="0"/>
                <w:sz w:val="22"/>
                <w:szCs w:val="22"/>
                <w:lang w:bidi="ar"/>
              </w:rPr>
            </w:pPr>
            <w:r>
              <w:rPr>
                <w:rFonts w:hint="default" w:ascii="Times New Roman" w:hAnsi="Times New Roman" w:eastAsia="黑体" w:cs="Times New Roman"/>
                <w:b w:val="0"/>
                <w:bCs w:val="0"/>
                <w:kern w:val="0"/>
                <w:sz w:val="22"/>
                <w:szCs w:val="22"/>
                <w:lang w:bidi="ar"/>
              </w:rPr>
              <w:t>2020年</w:t>
            </w:r>
          </w:p>
        </w:tc>
        <w:tc>
          <w:tcPr>
            <w:tcW w:w="148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eastAsia="黑体" w:cs="Times New Roman"/>
                <w:b w:val="0"/>
                <w:bCs w:val="0"/>
                <w:kern w:val="0"/>
                <w:sz w:val="22"/>
                <w:szCs w:val="22"/>
                <w:lang w:bidi="ar"/>
              </w:rPr>
            </w:pPr>
            <w:r>
              <w:rPr>
                <w:rFonts w:hint="default" w:ascii="Times New Roman" w:hAnsi="Times New Roman" w:eastAsia="黑体" w:cs="Times New Roman"/>
                <w:b w:val="0"/>
                <w:bCs w:val="0"/>
                <w:kern w:val="0"/>
                <w:sz w:val="22"/>
                <w:szCs w:val="22"/>
                <w:lang w:bidi="ar"/>
              </w:rPr>
              <w:t>2025年</w:t>
            </w:r>
          </w:p>
        </w:tc>
        <w:tc>
          <w:tcPr>
            <w:tcW w:w="229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eastAsia="黑体" w:cs="Times New Roman"/>
                <w:b w:val="0"/>
                <w:bCs w:val="0"/>
                <w:kern w:val="0"/>
                <w:sz w:val="22"/>
                <w:szCs w:val="22"/>
                <w:lang w:bidi="ar"/>
              </w:rPr>
            </w:pPr>
            <w:r>
              <w:rPr>
                <w:rFonts w:hint="default" w:ascii="Times New Roman" w:hAnsi="Times New Roman" w:eastAsia="黑体" w:cs="Times New Roman"/>
                <w:b w:val="0"/>
                <w:bCs w:val="0"/>
                <w:kern w:val="0"/>
                <w:sz w:val="22"/>
                <w:szCs w:val="22"/>
                <w:lang w:bidi="ar"/>
              </w:rPr>
              <w:t>2035年</w:t>
            </w:r>
          </w:p>
        </w:tc>
      </w:tr>
      <w:tr>
        <w:tblPrEx>
          <w:tblCellMar>
            <w:top w:w="0" w:type="dxa"/>
            <w:left w:w="0" w:type="dxa"/>
            <w:bottom w:w="0" w:type="dxa"/>
            <w:right w:w="0" w:type="dxa"/>
          </w:tblCellMar>
        </w:tblPrEx>
        <w:trPr>
          <w:trHeight w:val="328" w:hRule="atLeast"/>
          <w:tblHeader/>
          <w:jc w:val="center"/>
        </w:trPr>
        <w:tc>
          <w:tcPr>
            <w:tcW w:w="93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1</w:t>
            </w:r>
          </w:p>
        </w:tc>
        <w:tc>
          <w:tcPr>
            <w:tcW w:w="283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用水总量(亿</w:t>
            </w:r>
            <w:r>
              <w:rPr>
                <w:rFonts w:hint="default" w:ascii="Times New Roman" w:hAnsi="Times New Roman" w:cs="Times New Roman"/>
                <w:sz w:val="22"/>
                <w:szCs w:val="22"/>
              </w:rPr>
              <w:t>m</w:t>
            </w:r>
            <w:r>
              <w:rPr>
                <w:rFonts w:hint="default" w:ascii="Times New Roman" w:hAnsi="Times New Roman" w:cs="Times New Roman"/>
                <w:sz w:val="22"/>
                <w:szCs w:val="22"/>
                <w:vertAlign w:val="superscript"/>
              </w:rPr>
              <w:t>3</w:t>
            </w:r>
            <w:r>
              <w:rPr>
                <w:rFonts w:hint="default" w:ascii="Times New Roman" w:hAnsi="Times New Roman" w:cs="Times New Roman"/>
                <w:kern w:val="0"/>
                <w:sz w:val="22"/>
                <w:szCs w:val="22"/>
                <w:lang w:bidi="ar"/>
              </w:rPr>
              <w:t>)</w:t>
            </w:r>
          </w:p>
        </w:tc>
        <w:tc>
          <w:tcPr>
            <w:tcW w:w="1232" w:type="dxa"/>
            <w:tcBorders>
              <w:top w:val="nil"/>
              <w:left w:val="nil"/>
              <w:bottom w:val="single" w:color="000000" w:sz="8" w:space="0"/>
              <w:right w:val="single" w:color="000000" w:sz="8" w:space="0"/>
            </w:tcBorders>
            <w:shd w:val="clear" w:color="000000"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5.1</w:t>
            </w:r>
          </w:p>
        </w:tc>
        <w:tc>
          <w:tcPr>
            <w:tcW w:w="1484" w:type="dxa"/>
            <w:tcBorders>
              <w:top w:val="nil"/>
              <w:left w:val="nil"/>
              <w:bottom w:val="single" w:color="000000" w:sz="8" w:space="0"/>
              <w:right w:val="single" w:color="000000" w:sz="8" w:space="0"/>
            </w:tcBorders>
            <w:shd w:val="clear" w:color="000000"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7.1</w:t>
            </w:r>
          </w:p>
        </w:tc>
        <w:tc>
          <w:tcPr>
            <w:tcW w:w="2294" w:type="dxa"/>
            <w:tcBorders>
              <w:top w:val="nil"/>
              <w:left w:val="nil"/>
              <w:bottom w:val="single" w:color="000000" w:sz="8" w:space="0"/>
              <w:right w:val="single" w:color="000000" w:sz="8" w:space="0"/>
            </w:tcBorders>
            <w:shd w:val="clear" w:color="000000"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7.4</w:t>
            </w:r>
          </w:p>
        </w:tc>
      </w:tr>
      <w:tr>
        <w:tblPrEx>
          <w:tblCellMar>
            <w:top w:w="0" w:type="dxa"/>
            <w:left w:w="0" w:type="dxa"/>
            <w:bottom w:w="0" w:type="dxa"/>
            <w:right w:w="0" w:type="dxa"/>
          </w:tblCellMar>
        </w:tblPrEx>
        <w:trPr>
          <w:trHeight w:val="514" w:hRule="atLeast"/>
          <w:tblHeader/>
          <w:jc w:val="center"/>
        </w:trPr>
        <w:tc>
          <w:tcPr>
            <w:tcW w:w="93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2</w:t>
            </w:r>
          </w:p>
        </w:tc>
        <w:tc>
          <w:tcPr>
            <w:tcW w:w="283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万元GDP 用水量（</w:t>
            </w:r>
            <w:r>
              <w:rPr>
                <w:rFonts w:hint="default" w:ascii="Times New Roman" w:hAnsi="Times New Roman" w:cs="Times New Roman"/>
                <w:sz w:val="22"/>
                <w:szCs w:val="22"/>
              </w:rPr>
              <w:t>m</w:t>
            </w:r>
            <w:r>
              <w:rPr>
                <w:rFonts w:hint="default" w:ascii="Times New Roman" w:hAnsi="Times New Roman" w:cs="Times New Roman"/>
                <w:sz w:val="22"/>
                <w:szCs w:val="22"/>
                <w:vertAlign w:val="superscript"/>
              </w:rPr>
              <w:t>3</w:t>
            </w:r>
            <w:r>
              <w:rPr>
                <w:rFonts w:hint="default" w:ascii="Times New Roman" w:hAnsi="Times New Roman" w:cs="Times New Roman"/>
                <w:kern w:val="0"/>
                <w:sz w:val="22"/>
                <w:szCs w:val="22"/>
                <w:lang w:bidi="ar"/>
              </w:rPr>
              <w:t>）</w:t>
            </w:r>
          </w:p>
        </w:tc>
        <w:tc>
          <w:tcPr>
            <w:tcW w:w="1232" w:type="dxa"/>
            <w:tcBorders>
              <w:top w:val="nil"/>
              <w:left w:val="nil"/>
              <w:bottom w:val="single" w:color="000000" w:sz="8" w:space="0"/>
              <w:right w:val="single" w:color="000000" w:sz="8" w:space="0"/>
            </w:tcBorders>
            <w:shd w:val="clear" w:color="000000"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73.7</w:t>
            </w:r>
          </w:p>
        </w:tc>
        <w:tc>
          <w:tcPr>
            <w:tcW w:w="1484" w:type="dxa"/>
            <w:tcBorders>
              <w:top w:val="nil"/>
              <w:left w:val="nil"/>
              <w:bottom w:val="single" w:color="000000" w:sz="8" w:space="0"/>
              <w:right w:val="single" w:color="000000" w:sz="8" w:space="0"/>
            </w:tcBorders>
            <w:shd w:val="clear" w:color="000000"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61.9</w:t>
            </w:r>
          </w:p>
        </w:tc>
        <w:tc>
          <w:tcPr>
            <w:tcW w:w="2294" w:type="dxa"/>
            <w:tcBorders>
              <w:top w:val="nil"/>
              <w:left w:val="nil"/>
              <w:bottom w:val="single" w:color="000000" w:sz="8" w:space="0"/>
              <w:right w:val="single" w:color="000000" w:sz="8" w:space="0"/>
            </w:tcBorders>
            <w:shd w:val="clear" w:color="000000"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按四川省下达任务完成</w:t>
            </w:r>
          </w:p>
        </w:tc>
      </w:tr>
      <w:tr>
        <w:tblPrEx>
          <w:tblCellMar>
            <w:top w:w="0" w:type="dxa"/>
            <w:left w:w="0" w:type="dxa"/>
            <w:bottom w:w="0" w:type="dxa"/>
            <w:right w:w="0" w:type="dxa"/>
          </w:tblCellMar>
        </w:tblPrEx>
        <w:trPr>
          <w:trHeight w:val="439" w:hRule="atLeast"/>
          <w:tblHeader/>
          <w:jc w:val="center"/>
        </w:trPr>
        <w:tc>
          <w:tcPr>
            <w:tcW w:w="93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3</w:t>
            </w:r>
          </w:p>
        </w:tc>
        <w:tc>
          <w:tcPr>
            <w:tcW w:w="283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万元工业增加值用水量（</w:t>
            </w:r>
            <w:r>
              <w:rPr>
                <w:rFonts w:hint="default" w:ascii="Times New Roman" w:hAnsi="Times New Roman" w:cs="Times New Roman"/>
                <w:sz w:val="22"/>
                <w:szCs w:val="22"/>
              </w:rPr>
              <w:t>m</w:t>
            </w:r>
            <w:r>
              <w:rPr>
                <w:rFonts w:hint="default" w:ascii="Times New Roman" w:hAnsi="Times New Roman" w:cs="Times New Roman"/>
                <w:sz w:val="22"/>
                <w:szCs w:val="22"/>
                <w:vertAlign w:val="superscript"/>
              </w:rPr>
              <w:t>3</w:t>
            </w:r>
            <w:r>
              <w:rPr>
                <w:rFonts w:hint="default" w:ascii="Times New Roman" w:hAnsi="Times New Roman" w:cs="Times New Roman"/>
                <w:kern w:val="0"/>
                <w:sz w:val="22"/>
                <w:szCs w:val="22"/>
                <w:lang w:bidi="ar"/>
              </w:rPr>
              <w:t>）</w:t>
            </w:r>
          </w:p>
        </w:tc>
        <w:tc>
          <w:tcPr>
            <w:tcW w:w="1232" w:type="dxa"/>
            <w:tcBorders>
              <w:top w:val="nil"/>
              <w:left w:val="nil"/>
              <w:bottom w:val="single" w:color="000000" w:sz="8" w:space="0"/>
              <w:right w:val="single" w:color="000000" w:sz="8" w:space="0"/>
            </w:tcBorders>
            <w:shd w:val="clear" w:color="000000"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30.3</w:t>
            </w:r>
          </w:p>
        </w:tc>
        <w:tc>
          <w:tcPr>
            <w:tcW w:w="1484" w:type="dxa"/>
            <w:tcBorders>
              <w:top w:val="nil"/>
              <w:left w:val="nil"/>
              <w:bottom w:val="single" w:color="000000" w:sz="8" w:space="0"/>
              <w:right w:val="single" w:color="000000" w:sz="8" w:space="0"/>
            </w:tcBorders>
            <w:shd w:val="clear" w:color="000000"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25.4</w:t>
            </w:r>
          </w:p>
        </w:tc>
        <w:tc>
          <w:tcPr>
            <w:tcW w:w="2294" w:type="dxa"/>
            <w:tcBorders>
              <w:top w:val="nil"/>
              <w:left w:val="nil"/>
              <w:bottom w:val="single" w:color="000000" w:sz="8" w:space="0"/>
              <w:right w:val="single" w:color="000000" w:sz="8" w:space="0"/>
            </w:tcBorders>
            <w:shd w:val="clear" w:color="000000"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按四川省下达任务完成</w:t>
            </w:r>
          </w:p>
        </w:tc>
      </w:tr>
      <w:tr>
        <w:tblPrEx>
          <w:tblCellMar>
            <w:top w:w="0" w:type="dxa"/>
            <w:left w:w="0" w:type="dxa"/>
            <w:bottom w:w="0" w:type="dxa"/>
            <w:right w:w="0" w:type="dxa"/>
          </w:tblCellMar>
        </w:tblPrEx>
        <w:trPr>
          <w:trHeight w:val="395" w:hRule="atLeast"/>
          <w:tblHeader/>
          <w:jc w:val="center"/>
        </w:trPr>
        <w:tc>
          <w:tcPr>
            <w:tcW w:w="93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4</w:t>
            </w:r>
          </w:p>
        </w:tc>
        <w:tc>
          <w:tcPr>
            <w:tcW w:w="283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农田灌溉水有效利用系数</w:t>
            </w:r>
          </w:p>
        </w:tc>
        <w:tc>
          <w:tcPr>
            <w:tcW w:w="1232" w:type="dxa"/>
            <w:tcBorders>
              <w:top w:val="nil"/>
              <w:left w:val="nil"/>
              <w:bottom w:val="single" w:color="000000" w:sz="8" w:space="0"/>
              <w:right w:val="single" w:color="000000" w:sz="8" w:space="0"/>
            </w:tcBorders>
            <w:shd w:val="clear" w:color="000000"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0.476</w:t>
            </w:r>
          </w:p>
        </w:tc>
        <w:tc>
          <w:tcPr>
            <w:tcW w:w="1484" w:type="dxa"/>
            <w:tcBorders>
              <w:top w:val="nil"/>
              <w:left w:val="nil"/>
              <w:bottom w:val="single" w:color="000000" w:sz="8" w:space="0"/>
              <w:right w:val="single" w:color="000000" w:sz="8" w:space="0"/>
            </w:tcBorders>
            <w:shd w:val="clear" w:color="000000"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＞0.50</w:t>
            </w:r>
          </w:p>
        </w:tc>
        <w:tc>
          <w:tcPr>
            <w:tcW w:w="2294" w:type="dxa"/>
            <w:tcBorders>
              <w:top w:val="nil"/>
              <w:left w:val="nil"/>
              <w:bottom w:val="single" w:color="000000" w:sz="8" w:space="0"/>
              <w:right w:val="single" w:color="000000" w:sz="8" w:space="0"/>
            </w:tcBorders>
            <w:shd w:val="clear" w:color="000000" w:fill="auto"/>
            <w:tcMar>
              <w:top w:w="15" w:type="dxa"/>
              <w:left w:w="15" w:type="dxa"/>
              <w:right w:w="15" w:type="dxa"/>
            </w:tcMar>
            <w:vAlign w:val="center"/>
          </w:tcPr>
          <w:p>
            <w:pPr>
              <w:widowControl/>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＞0.60</w:t>
            </w:r>
          </w:p>
        </w:tc>
      </w:tr>
      <w:tr>
        <w:tblPrEx>
          <w:tblCellMar>
            <w:top w:w="0" w:type="dxa"/>
            <w:left w:w="0" w:type="dxa"/>
            <w:bottom w:w="0" w:type="dxa"/>
            <w:right w:w="0" w:type="dxa"/>
          </w:tblCellMar>
        </w:tblPrEx>
        <w:trPr>
          <w:trHeight w:val="474" w:hRule="atLeast"/>
          <w:tblHeader/>
          <w:jc w:val="center"/>
        </w:trPr>
        <w:tc>
          <w:tcPr>
            <w:tcW w:w="93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ageBreakBefore w:val="0"/>
              <w:widowControl w:val="0"/>
              <w:kinsoku/>
              <w:wordWrap/>
              <w:overflowPunct/>
              <w:topLinePunct w:val="0"/>
              <w:autoSpaceDE/>
              <w:autoSpaceDN/>
              <w:bidi w:val="0"/>
              <w:adjustRightInd/>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5</w:t>
            </w:r>
          </w:p>
        </w:tc>
        <w:tc>
          <w:tcPr>
            <w:tcW w:w="283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ageBreakBefore w:val="0"/>
              <w:widowControl w:val="0"/>
              <w:kinsoku/>
              <w:wordWrap/>
              <w:overflowPunct/>
              <w:topLinePunct w:val="0"/>
              <w:autoSpaceDE/>
              <w:autoSpaceDN/>
              <w:bidi w:val="0"/>
              <w:adjustRightInd/>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公共供水管网漏损率（%）</w:t>
            </w:r>
          </w:p>
        </w:tc>
        <w:tc>
          <w:tcPr>
            <w:tcW w:w="1232" w:type="dxa"/>
            <w:tcBorders>
              <w:top w:val="nil"/>
              <w:left w:val="nil"/>
              <w:bottom w:val="single" w:color="000000" w:sz="8" w:space="0"/>
              <w:right w:val="single" w:color="000000" w:sz="8" w:space="0"/>
            </w:tcBorders>
            <w:shd w:val="clear" w:color="000000" w:fill="auto"/>
            <w:tcMar>
              <w:top w:w="15" w:type="dxa"/>
              <w:left w:w="15" w:type="dxa"/>
              <w:right w:w="15" w:type="dxa"/>
            </w:tcMar>
            <w:vAlign w:val="center"/>
          </w:tcPr>
          <w:p>
            <w:pPr>
              <w:pageBreakBefore w:val="0"/>
              <w:widowControl w:val="0"/>
              <w:kinsoku/>
              <w:wordWrap/>
              <w:overflowPunct/>
              <w:topLinePunct w:val="0"/>
              <w:autoSpaceDE/>
              <w:autoSpaceDN/>
              <w:bidi w:val="0"/>
              <w:adjustRightInd/>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10</w:t>
            </w:r>
          </w:p>
        </w:tc>
        <w:tc>
          <w:tcPr>
            <w:tcW w:w="1484" w:type="dxa"/>
            <w:tcBorders>
              <w:top w:val="nil"/>
              <w:left w:val="nil"/>
              <w:bottom w:val="single" w:color="000000" w:sz="8" w:space="0"/>
              <w:right w:val="single" w:color="000000" w:sz="8" w:space="0"/>
            </w:tcBorders>
            <w:shd w:val="clear" w:color="000000" w:fill="auto"/>
            <w:tcMar>
              <w:top w:w="15" w:type="dxa"/>
              <w:left w:w="15" w:type="dxa"/>
              <w:right w:w="15" w:type="dxa"/>
            </w:tcMar>
            <w:vAlign w:val="center"/>
          </w:tcPr>
          <w:p>
            <w:pPr>
              <w:pageBreakBefore w:val="0"/>
              <w:widowControl w:val="0"/>
              <w:kinsoku/>
              <w:wordWrap/>
              <w:overflowPunct/>
              <w:topLinePunct w:val="0"/>
              <w:autoSpaceDE/>
              <w:autoSpaceDN/>
              <w:bidi w:val="0"/>
              <w:adjustRightInd/>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&lt;9.5</w:t>
            </w:r>
          </w:p>
        </w:tc>
        <w:tc>
          <w:tcPr>
            <w:tcW w:w="2294" w:type="dxa"/>
            <w:tcBorders>
              <w:top w:val="nil"/>
              <w:left w:val="nil"/>
              <w:bottom w:val="single" w:color="000000" w:sz="8" w:space="0"/>
              <w:right w:val="single" w:color="000000" w:sz="8" w:space="0"/>
            </w:tcBorders>
            <w:shd w:val="clear" w:color="000000" w:fill="auto"/>
            <w:tcMar>
              <w:top w:w="15" w:type="dxa"/>
              <w:left w:w="15" w:type="dxa"/>
              <w:right w:w="15" w:type="dxa"/>
            </w:tcMar>
            <w:vAlign w:val="center"/>
          </w:tcPr>
          <w:p>
            <w:pPr>
              <w:pageBreakBefore w:val="0"/>
              <w:widowControl w:val="0"/>
              <w:kinsoku/>
              <w:wordWrap/>
              <w:overflowPunct/>
              <w:topLinePunct w:val="0"/>
              <w:autoSpaceDE/>
              <w:autoSpaceDN/>
              <w:bidi w:val="0"/>
              <w:adjustRightInd/>
              <w:spacing w:line="240" w:lineRule="auto"/>
              <w:ind w:firstLine="0" w:firstLineChars="0"/>
              <w:jc w:val="center"/>
              <w:textAlignment w:val="top"/>
              <w:rPr>
                <w:rFonts w:hint="default" w:ascii="Times New Roman" w:hAnsi="Times New Roman" w:cs="Times New Roman"/>
                <w:kern w:val="0"/>
                <w:sz w:val="22"/>
                <w:szCs w:val="22"/>
                <w:lang w:bidi="ar"/>
              </w:rPr>
            </w:pPr>
            <w:r>
              <w:rPr>
                <w:rFonts w:hint="default" w:ascii="Times New Roman" w:hAnsi="Times New Roman" w:cs="Times New Roman"/>
                <w:kern w:val="0"/>
                <w:sz w:val="22"/>
                <w:szCs w:val="22"/>
                <w:lang w:bidi="ar"/>
              </w:rPr>
              <w:t>&lt;9</w:t>
            </w:r>
          </w:p>
        </w:tc>
      </w:tr>
    </w:tbl>
    <w:p>
      <w:pPr>
        <w:pStyle w:val="4"/>
        <w:keepNext/>
        <w:keepLines/>
        <w:pageBreakBefore w:val="0"/>
        <w:widowControl w:val="0"/>
        <w:kinsoku/>
        <w:wordWrap/>
        <w:overflowPunct/>
        <w:topLinePunct w:val="0"/>
        <w:autoSpaceDE/>
        <w:autoSpaceDN/>
        <w:bidi w:val="0"/>
        <w:adjustRightInd/>
        <w:snapToGrid w:val="0"/>
        <w:spacing w:before="0" w:after="0" w:line="520" w:lineRule="exact"/>
        <w:jc w:val="left"/>
        <w:textAlignment w:val="auto"/>
        <w:rPr>
          <w:rFonts w:hint="default" w:ascii="Times New Roman" w:hAnsi="Times New Roman" w:cs="Times New Roman"/>
          <w:b/>
          <w:bCs/>
          <w:sz w:val="28"/>
          <w:szCs w:val="28"/>
        </w:rPr>
      </w:pPr>
      <w:bookmarkStart w:id="70" w:name="_Toc32662"/>
      <w:bookmarkStart w:id="71" w:name="_Toc24111"/>
      <w:bookmarkStart w:id="72" w:name="_Toc80693610"/>
      <w:bookmarkStart w:id="73" w:name="_Toc100673805"/>
      <w:bookmarkStart w:id="74" w:name="_Toc7477"/>
      <w:bookmarkStart w:id="75" w:name="_Toc11716"/>
      <w:bookmarkStart w:id="76" w:name="_Toc13502"/>
      <w:r>
        <w:rPr>
          <w:rFonts w:hint="eastAsia" w:ascii="仿宋_GB2312" w:hAnsi="仿宋_GB2312" w:eastAsia="仿宋_GB2312" w:cs="仿宋_GB2312"/>
          <w:b/>
          <w:bCs/>
          <w:sz w:val="32"/>
          <w:szCs w:val="32"/>
        </w:rPr>
        <w:t>（牵头单位：市发展改革委、市水利局；参与单位：</w:t>
      </w:r>
      <w:r>
        <w:rPr>
          <w:rFonts w:hint="default" w:ascii="仿宋_GB2312" w:hAnsi="仿宋_GB2312" w:eastAsia="仿宋_GB2312" w:cs="仿宋_GB2312"/>
          <w:b/>
          <w:bCs/>
          <w:sz w:val="32"/>
          <w:szCs w:val="32"/>
        </w:rPr>
        <w:t>市住房城乡建设局</w:t>
      </w:r>
      <w:r>
        <w:rPr>
          <w:rFonts w:hint="eastAsia" w:ascii="仿宋_GB2312" w:hAnsi="仿宋_GB2312" w:eastAsia="仿宋_GB2312" w:cs="仿宋_GB2312"/>
          <w:b/>
          <w:bCs/>
          <w:sz w:val="32"/>
          <w:szCs w:val="32"/>
        </w:rPr>
        <w:t>、</w:t>
      </w:r>
      <w:r>
        <w:rPr>
          <w:rFonts w:hint="default" w:ascii="仿宋_GB2312" w:hAnsi="仿宋_GB2312" w:eastAsia="仿宋_GB2312" w:cs="仿宋_GB2312"/>
          <w:b/>
          <w:bCs/>
          <w:sz w:val="32"/>
          <w:szCs w:val="32"/>
        </w:rPr>
        <w:t>市教育体育局</w:t>
      </w:r>
      <w:r>
        <w:rPr>
          <w:rFonts w:hint="eastAsia" w:ascii="仿宋_GB2312" w:hAnsi="仿宋_GB2312" w:eastAsia="仿宋_GB2312" w:cs="仿宋_GB2312"/>
          <w:b/>
          <w:bCs/>
          <w:sz w:val="32"/>
          <w:szCs w:val="32"/>
        </w:rPr>
        <w:t>、市科技局、</w:t>
      </w:r>
      <w:r>
        <w:rPr>
          <w:rFonts w:hint="default" w:ascii="仿宋_GB2312" w:hAnsi="仿宋_GB2312" w:eastAsia="仿宋_GB2312" w:cs="仿宋_GB2312"/>
          <w:b/>
          <w:bCs/>
          <w:sz w:val="32"/>
          <w:szCs w:val="32"/>
        </w:rPr>
        <w:t>市经信局</w:t>
      </w:r>
      <w:r>
        <w:rPr>
          <w:rFonts w:hint="eastAsia" w:ascii="仿宋_GB2312" w:hAnsi="仿宋_GB2312" w:eastAsia="仿宋_GB2312" w:cs="仿宋_GB2312"/>
          <w:b/>
          <w:bCs/>
          <w:sz w:val="32"/>
          <w:szCs w:val="32"/>
        </w:rPr>
        <w:t>、市司法局、市财政局、市自然资源和规划局、市生态环境局、市交通运输局、市农业农村局、市商务局、市卫生健康委、市税务局、</w:t>
      </w:r>
      <w:r>
        <w:rPr>
          <w:rFonts w:hint="default" w:ascii="仿宋_GB2312" w:hAnsi="仿宋_GB2312" w:eastAsia="仿宋_GB2312" w:cs="仿宋_GB2312"/>
          <w:b/>
          <w:bCs/>
          <w:sz w:val="32"/>
          <w:szCs w:val="32"/>
        </w:rPr>
        <w:t>市市场监管局</w:t>
      </w:r>
      <w:r>
        <w:rPr>
          <w:rFonts w:hint="eastAsia" w:ascii="仿宋_GB2312" w:hAnsi="仿宋_GB2312" w:eastAsia="仿宋_GB2312" w:cs="仿宋_GB2312"/>
          <w:b/>
          <w:bCs/>
          <w:sz w:val="32"/>
          <w:szCs w:val="32"/>
        </w:rPr>
        <w:t>、市统计局、市机关事务服务中心）</w:t>
      </w:r>
    </w:p>
    <w:p>
      <w:pPr>
        <w:pStyle w:val="4"/>
        <w:pageBreakBefore w:val="0"/>
        <w:widowControl w:val="0"/>
        <w:kinsoku/>
        <w:wordWrap/>
        <w:overflowPunct/>
        <w:topLinePunct w:val="0"/>
        <w:autoSpaceDE/>
        <w:autoSpaceDN/>
        <w:bidi w:val="0"/>
        <w:adjustRightInd/>
        <w:snapToGrid w:val="0"/>
        <w:spacing w:before="0" w:after="0" w:line="560" w:lineRule="exact"/>
        <w:ind w:firstLine="640" w:firstLineChars="200"/>
        <w:jc w:val="lef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黑体" w:cs="Times New Roman"/>
          <w:b w:val="0"/>
          <w:bCs w:val="0"/>
          <w:color w:val="auto"/>
          <w:sz w:val="32"/>
          <w:szCs w:val="32"/>
        </w:rPr>
        <w:t>三、重点任务</w:t>
      </w:r>
      <w:bookmarkEnd w:id="70"/>
      <w:bookmarkEnd w:id="71"/>
      <w:bookmarkEnd w:id="72"/>
      <w:bookmarkEnd w:id="73"/>
      <w:bookmarkEnd w:id="74"/>
      <w:bookmarkEnd w:id="75"/>
      <w:bookmarkEnd w:id="76"/>
    </w:p>
    <w:p>
      <w:pPr>
        <w:pStyle w:val="5"/>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楷体_GB2312" w:cs="Times New Roman"/>
          <w:color w:val="auto"/>
          <w:sz w:val="32"/>
          <w:szCs w:val="32"/>
        </w:rPr>
      </w:pPr>
      <w:bookmarkStart w:id="77" w:name="_Toc6531"/>
      <w:bookmarkStart w:id="78" w:name="_Toc4460"/>
      <w:bookmarkStart w:id="79" w:name="_Toc13972"/>
      <w:bookmarkStart w:id="80" w:name="_Toc3940"/>
      <w:bookmarkStart w:id="81" w:name="_Toc31806"/>
      <w:bookmarkStart w:id="82" w:name="_Toc100673806"/>
      <w:r>
        <w:rPr>
          <w:rFonts w:hint="default" w:ascii="Times New Roman" w:hAnsi="Times New Roman" w:eastAsia="楷体_GB2312" w:cs="Times New Roman"/>
          <w:color w:val="auto"/>
          <w:sz w:val="32"/>
          <w:szCs w:val="32"/>
        </w:rPr>
        <w:t>（一）提升节水意识</w:t>
      </w:r>
      <w:bookmarkEnd w:id="77"/>
      <w:bookmarkEnd w:id="78"/>
      <w:bookmarkEnd w:id="79"/>
      <w:bookmarkEnd w:id="80"/>
      <w:bookmarkEnd w:id="81"/>
      <w:bookmarkEnd w:id="82"/>
    </w:p>
    <w:p>
      <w:pPr>
        <w:pageBreakBefore w:val="0"/>
        <w:widowControl w:val="0"/>
        <w:kinsoku/>
        <w:wordWrap/>
        <w:overflowPunct/>
        <w:topLinePunct w:val="0"/>
        <w:autoSpaceDE/>
        <w:autoSpaceDN/>
        <w:bidi w:val="0"/>
        <w:adjustRightInd/>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 加大宣传教育。</w:t>
      </w:r>
      <w:r>
        <w:rPr>
          <w:rFonts w:hint="default" w:ascii="Times New Roman" w:hAnsi="Times New Roman" w:eastAsia="仿宋_GB2312" w:cs="Times New Roman"/>
          <w:sz w:val="32"/>
          <w:szCs w:val="32"/>
        </w:rPr>
        <w:t>结合世界水日、中国水周、全国城市节约用水宣传周等主题宣传，利用电视、报纸、网络等媒体，加大节水公益性宣传力度，普及节水知识，倡导绿色消费。将节水纳入全市国民素质教育和中小学教育活动，推进节水教育进校园、进社区、进企业、进机关，引导广大群众增强节约保护水资源的思想认识和行动自觉。做好用水主体工作人员和基层管理人员的节水培训。</w:t>
      </w:r>
      <w:r>
        <w:rPr>
          <w:rFonts w:hint="default" w:ascii="Times New Roman" w:hAnsi="Times New Roman" w:eastAsia="仿宋_GB2312" w:cs="Times New Roman"/>
          <w:b/>
          <w:bCs/>
          <w:sz w:val="32"/>
          <w:szCs w:val="32"/>
        </w:rPr>
        <w:t>（牵头单位：</w:t>
      </w:r>
      <w:r>
        <w:rPr>
          <w:rFonts w:hint="default" w:eastAsia="仿宋_GB2312" w:cs="Times New Roman"/>
          <w:b/>
          <w:bCs/>
          <w:sz w:val="32"/>
          <w:szCs w:val="32"/>
        </w:rPr>
        <w:t>市教育体育局</w:t>
      </w:r>
      <w:r>
        <w:rPr>
          <w:rFonts w:hint="default" w:ascii="Times New Roman" w:hAnsi="Times New Roman" w:eastAsia="仿宋_GB2312" w:cs="Times New Roman"/>
          <w:b/>
          <w:bCs/>
          <w:sz w:val="32"/>
          <w:szCs w:val="32"/>
        </w:rPr>
        <w:t>、市水利局按职责分工负责；参与单位：市发展改革委、</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、市农业农村局、市机关事务服务中心）</w:t>
      </w:r>
    </w:p>
    <w:p>
      <w:pPr>
        <w:pageBreakBefore w:val="0"/>
        <w:widowControl w:val="0"/>
        <w:numPr>
          <w:ilvl w:val="0"/>
          <w:numId w:val="1"/>
        </w:numPr>
        <w:kinsoku/>
        <w:wordWrap/>
        <w:overflowPunct/>
        <w:topLinePunct w:val="0"/>
        <w:autoSpaceDE/>
        <w:autoSpaceDN/>
        <w:bidi w:val="0"/>
        <w:adjustRightInd/>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 推进载体建设。</w:t>
      </w:r>
      <w:r>
        <w:rPr>
          <w:rFonts w:hint="default" w:ascii="Times New Roman" w:hAnsi="Times New Roman" w:eastAsia="仿宋_GB2312" w:cs="Times New Roman"/>
          <w:sz w:val="32"/>
          <w:szCs w:val="32"/>
        </w:rPr>
        <w:t>推动县域节水型社会达标建设，建设节水型灌区、园区、企业、社区、公共机构，示范带动农业、工业、生活等各领域节水。机关、高校、医院等公共机构发挥表率作用，持续开展节水改造。推广节水型机关建设先进经验、模式和节约用水行为规范。在用水产品、用水行业、大中型灌区和公共机构开展水效领跑者引领行动，树立节水先进标杆。</w:t>
      </w:r>
      <w:r>
        <w:rPr>
          <w:rFonts w:hint="default" w:ascii="Times New Roman" w:hAnsi="Times New Roman" w:eastAsia="仿宋_GB2312" w:cs="Times New Roman"/>
          <w:b/>
          <w:bCs/>
          <w:sz w:val="32"/>
          <w:szCs w:val="32"/>
        </w:rPr>
        <w:t>（市水利局、</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w:t>
      </w:r>
      <w:r>
        <w:rPr>
          <w:rFonts w:hint="default" w:eastAsia="仿宋_GB2312" w:cs="Times New Roman"/>
          <w:b/>
          <w:bCs/>
          <w:sz w:val="32"/>
          <w:szCs w:val="32"/>
        </w:rPr>
        <w:t>市教育体育局</w:t>
      </w:r>
      <w:r>
        <w:rPr>
          <w:rFonts w:hint="default" w:ascii="Times New Roman" w:hAnsi="Times New Roman" w:eastAsia="仿宋_GB2312" w:cs="Times New Roman"/>
          <w:b/>
          <w:bCs/>
          <w:sz w:val="32"/>
          <w:szCs w:val="32"/>
        </w:rPr>
        <w:t>、市发展改革委、市机关事务服务中心按职责分工负责）</w:t>
      </w:r>
    </w:p>
    <w:p>
      <w:pPr>
        <w:pStyle w:val="5"/>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楷体_GB2312" w:cs="Times New Roman"/>
          <w:color w:val="auto"/>
          <w:sz w:val="32"/>
          <w:szCs w:val="32"/>
        </w:rPr>
      </w:pPr>
      <w:bookmarkStart w:id="83" w:name="_Toc7648"/>
      <w:bookmarkStart w:id="84" w:name="_Toc21794"/>
      <w:bookmarkStart w:id="85" w:name="_Toc9289"/>
      <w:bookmarkStart w:id="86" w:name="_Toc7187"/>
      <w:bookmarkStart w:id="87" w:name="_Toc100673807"/>
      <w:bookmarkStart w:id="88" w:name="_Toc27375"/>
      <w:r>
        <w:rPr>
          <w:rFonts w:hint="default" w:ascii="Times New Roman" w:hAnsi="Times New Roman" w:eastAsia="楷体_GB2312" w:cs="Times New Roman"/>
          <w:color w:val="auto"/>
          <w:sz w:val="32"/>
          <w:szCs w:val="32"/>
        </w:rPr>
        <w:t>（二）强化刚性约束</w:t>
      </w:r>
      <w:bookmarkEnd w:id="83"/>
      <w:bookmarkEnd w:id="84"/>
      <w:bookmarkEnd w:id="85"/>
      <w:bookmarkEnd w:id="86"/>
      <w:bookmarkEnd w:id="87"/>
      <w:bookmarkEnd w:id="88"/>
    </w:p>
    <w:p>
      <w:pPr>
        <w:pageBreakBefore w:val="0"/>
        <w:widowControl w:val="0"/>
        <w:numPr>
          <w:ilvl w:val="0"/>
          <w:numId w:val="1"/>
        </w:numPr>
        <w:kinsoku/>
        <w:wordWrap/>
        <w:overflowPunct/>
        <w:topLinePunct w:val="0"/>
        <w:autoSpaceDE/>
        <w:autoSpaceDN/>
        <w:bidi w:val="0"/>
        <w:adjustRightInd/>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坚持以水定需。</w:t>
      </w:r>
      <w:r>
        <w:rPr>
          <w:rFonts w:hint="default" w:ascii="Times New Roman" w:hAnsi="Times New Roman" w:eastAsia="仿宋_GB2312" w:cs="Times New Roman"/>
          <w:sz w:val="32"/>
          <w:szCs w:val="32"/>
        </w:rPr>
        <w:t>根据区域水资源条件，建立分区水资源管控体系。结合区域发展战略，优化生产、生活、生态空间布局，加快形成与水资源相适应的产业发展格局。优化农业生产布局，开展水资源论证，实施规划与建设项目节水评价，坚决遏制不合理用水需求。</w:t>
      </w:r>
      <w:r>
        <w:rPr>
          <w:rFonts w:hint="default" w:ascii="Times New Roman" w:hAnsi="Times New Roman" w:eastAsia="仿宋_GB2312" w:cs="Times New Roman"/>
          <w:b/>
          <w:bCs/>
          <w:sz w:val="32"/>
          <w:szCs w:val="32"/>
        </w:rPr>
        <w:t>（市水利局、市自然资源和规划局、市农业农村局、</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、市发展改革委、市生态环境局按职责分工负责）</w:t>
      </w:r>
    </w:p>
    <w:p>
      <w:pPr>
        <w:pageBreakBefore w:val="0"/>
        <w:widowControl w:val="0"/>
        <w:numPr>
          <w:ilvl w:val="0"/>
          <w:numId w:val="1"/>
        </w:numPr>
        <w:kinsoku/>
        <w:wordWrap/>
        <w:overflowPunct/>
        <w:topLinePunct w:val="0"/>
        <w:autoSpaceDE/>
        <w:autoSpaceDN/>
        <w:bidi w:val="0"/>
        <w:adjustRightInd/>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健全约束指标体系。</w:t>
      </w:r>
      <w:r>
        <w:rPr>
          <w:rFonts w:hint="default" w:ascii="Times New Roman" w:hAnsi="Times New Roman" w:eastAsia="仿宋_GB2312" w:cs="Times New Roman"/>
          <w:sz w:val="32"/>
          <w:szCs w:val="32"/>
        </w:rPr>
        <w:t>强化用水定额在规划编制、水资源论证、节水评价、取水许可、计划用水、节水载体建设、考核监督等方面的约束作用。健全市、县两级行政区用水总量和强度控制指标体系，明确各行政区水量分配份额、重要控制断面下泄水量和流量控制指标，作为各区域地表水开发利用的控制红线。建立地下水取用水总量和水位双控指标体系。</w:t>
      </w:r>
      <w:r>
        <w:rPr>
          <w:rFonts w:hint="default" w:ascii="Times New Roman" w:hAnsi="Times New Roman" w:eastAsia="仿宋_GB2312" w:cs="Times New Roman"/>
          <w:b/>
          <w:bCs/>
          <w:sz w:val="32"/>
          <w:szCs w:val="32"/>
        </w:rPr>
        <w:t>（牵头单位：市水利局；参与单位：市发展改革委、</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、市自然资源和规划局、</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、市农业农村局、</w:t>
      </w:r>
      <w:r>
        <w:rPr>
          <w:rFonts w:hint="default" w:eastAsia="仿宋_GB2312" w:cs="Times New Roman"/>
          <w:b/>
          <w:bCs/>
          <w:sz w:val="32"/>
          <w:szCs w:val="32"/>
        </w:rPr>
        <w:t>市市场监管局</w:t>
      </w:r>
      <w:r>
        <w:rPr>
          <w:rFonts w:hint="default" w:ascii="Times New Roman" w:hAnsi="Times New Roman" w:eastAsia="仿宋_GB2312" w:cs="Times New Roman"/>
          <w:b/>
          <w:bCs/>
          <w:sz w:val="32"/>
          <w:szCs w:val="32"/>
        </w:rPr>
        <w:t>）</w:t>
      </w:r>
    </w:p>
    <w:p>
      <w:pPr>
        <w:pageBreakBefore w:val="0"/>
        <w:widowControl w:val="0"/>
        <w:numPr>
          <w:ilvl w:val="0"/>
          <w:numId w:val="1"/>
        </w:numPr>
        <w:kinsoku/>
        <w:wordWrap/>
        <w:overflowPunct/>
        <w:topLinePunct w:val="0"/>
        <w:autoSpaceDE/>
        <w:autoSpaceDN/>
        <w:bidi w:val="0"/>
        <w:adjustRightInd/>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严格全过程监管。</w:t>
      </w:r>
      <w:r>
        <w:rPr>
          <w:rFonts w:hint="default" w:ascii="Times New Roman" w:hAnsi="Times New Roman" w:eastAsia="仿宋_GB2312" w:cs="Times New Roman"/>
          <w:sz w:val="32"/>
          <w:szCs w:val="32"/>
        </w:rPr>
        <w:t>强化取水许可管理，实行动态监管，从严审批新增取水许可申请，切实从源头把好节水关。开展取用水管理专项整治行动，重点整治未经批准擅自取水、未按规定条件取水等违法取用水问题，依法规范取用水行为。严格自备井管理，依法关闭公共供水管网覆盖范围内的自备井。严格计划用水管理，市、县级人民政府制定年度用水计划，规模以上用水户实行计划用水。加强用水计量监测，健全市重点监控用水单位名录。</w:t>
      </w:r>
      <w:r>
        <w:rPr>
          <w:rFonts w:hint="default" w:ascii="Times New Roman" w:hAnsi="Times New Roman" w:eastAsia="仿宋_GB2312" w:cs="Times New Roman"/>
          <w:b/>
          <w:bCs/>
          <w:sz w:val="32"/>
          <w:szCs w:val="32"/>
        </w:rPr>
        <w:t>（牵头单位：市水利局、</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按职责分工负责；参与单位：</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、市自然资源和规划局、市农业农村局、市机关事务服务中心）</w:t>
      </w:r>
    </w:p>
    <w:p>
      <w:pPr>
        <w:pStyle w:val="5"/>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楷体_GB2312" w:cs="Times New Roman"/>
          <w:color w:val="auto"/>
          <w:sz w:val="32"/>
          <w:szCs w:val="32"/>
        </w:rPr>
      </w:pPr>
      <w:bookmarkStart w:id="89" w:name="_Toc23128"/>
      <w:bookmarkStart w:id="90" w:name="_Toc8030"/>
      <w:bookmarkStart w:id="91" w:name="_Toc28261"/>
      <w:bookmarkStart w:id="92" w:name="_Toc3968"/>
      <w:bookmarkStart w:id="93" w:name="_Toc28455"/>
      <w:bookmarkStart w:id="94" w:name="_Toc100673808"/>
      <w:r>
        <w:rPr>
          <w:rFonts w:hint="default" w:ascii="Times New Roman" w:hAnsi="Times New Roman" w:eastAsia="楷体_GB2312" w:cs="Times New Roman"/>
          <w:color w:val="auto"/>
          <w:sz w:val="32"/>
          <w:szCs w:val="32"/>
        </w:rPr>
        <w:t>（三）补齐设施短板</w:t>
      </w:r>
      <w:bookmarkEnd w:id="89"/>
      <w:bookmarkEnd w:id="90"/>
      <w:bookmarkEnd w:id="91"/>
      <w:bookmarkEnd w:id="92"/>
      <w:bookmarkEnd w:id="93"/>
      <w:bookmarkEnd w:id="94"/>
    </w:p>
    <w:p>
      <w:pPr>
        <w:pageBreakBefore w:val="0"/>
        <w:widowControl w:val="0"/>
        <w:numPr>
          <w:ilvl w:val="0"/>
          <w:numId w:val="1"/>
        </w:numPr>
        <w:kinsoku/>
        <w:wordWrap/>
        <w:overflowPunct/>
        <w:topLinePunct w:val="0"/>
        <w:autoSpaceDE/>
        <w:autoSpaceDN/>
        <w:bidi w:val="0"/>
        <w:adjustRightInd/>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推进农业节水设施建设。</w:t>
      </w:r>
      <w:r>
        <w:rPr>
          <w:rFonts w:hint="default" w:ascii="Times New Roman" w:hAnsi="Times New Roman" w:eastAsia="仿宋_GB2312" w:cs="Times New Roman"/>
          <w:sz w:val="32"/>
          <w:szCs w:val="32"/>
        </w:rPr>
        <w:t>开展大中型灌区续建配套与现代化改造，完善渠首工程和骨干工程体系，加固改造或衬砌干支渠道，因地制宜推广管道输水。统筹规划、同步实施高效节水灌溉与高标准农田建设，加大田间节水设施建设力度。有条件的地区，推进设施农业和农田集雨设施建设。</w:t>
      </w:r>
      <w:r>
        <w:rPr>
          <w:rFonts w:hint="default" w:ascii="Times New Roman" w:hAnsi="Times New Roman" w:eastAsia="仿宋_GB2312" w:cs="Times New Roman"/>
          <w:b/>
          <w:bCs/>
          <w:sz w:val="32"/>
          <w:szCs w:val="32"/>
        </w:rPr>
        <w:t>（牵头单位：市水利局、市农业农村局按职责分工负责；参与单位：市发展改革委、市财政局）</w:t>
      </w:r>
    </w:p>
    <w:p>
      <w:pPr>
        <w:pageBreakBefore w:val="0"/>
        <w:widowControl w:val="0"/>
        <w:numPr>
          <w:ilvl w:val="0"/>
          <w:numId w:val="1"/>
        </w:numPr>
        <w:kinsoku/>
        <w:wordWrap/>
        <w:overflowPunct/>
        <w:topLinePunct w:val="0"/>
        <w:autoSpaceDE/>
        <w:autoSpaceDN/>
        <w:bidi w:val="0"/>
        <w:adjustRightInd/>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实施城镇供水管网治理工程。</w:t>
      </w:r>
      <w:r>
        <w:rPr>
          <w:rFonts w:hint="default" w:ascii="Times New Roman" w:hAnsi="Times New Roman" w:eastAsia="仿宋_GB2312" w:cs="Times New Roman"/>
          <w:sz w:val="32"/>
          <w:szCs w:val="32"/>
        </w:rPr>
        <w:t>老城区结合更新改造，抓紧补齐供水管网短板，新城（园）区高起点规划、高标准建设供水管网。按需选择分区计量实施路线，试点建设分区计量工程，逐步实现供水管网的网格化、精细化管理，积极推进管网改造、供水管网压力调控工程。公共供水管网漏损率要控制到一级评定标准以内。</w:t>
      </w:r>
      <w:r>
        <w:rPr>
          <w:rFonts w:hint="default" w:ascii="Times New Roman" w:hAnsi="Times New Roman" w:eastAsia="仿宋_GB2312" w:cs="Times New Roman"/>
          <w:b/>
          <w:bCs/>
          <w:sz w:val="32"/>
          <w:szCs w:val="32"/>
        </w:rPr>
        <w:t>（牵头单位：</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、市发展改革委 按职责分工负责；参与单位：市水利局、市财政局、市自然资源和规划局、市交通运输局）</w:t>
      </w:r>
    </w:p>
    <w:p>
      <w:pPr>
        <w:pageBreakBefore w:val="0"/>
        <w:widowControl w:val="0"/>
        <w:numPr>
          <w:ilvl w:val="0"/>
          <w:numId w:val="1"/>
        </w:numPr>
        <w:kinsoku/>
        <w:wordWrap/>
        <w:overflowPunct/>
        <w:topLinePunct w:val="0"/>
        <w:autoSpaceDE/>
        <w:autoSpaceDN/>
        <w:bidi w:val="0"/>
        <w:adjustRightInd/>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推进非常规水源利用设施建设。</w:t>
      </w:r>
      <w:r>
        <w:rPr>
          <w:rFonts w:hint="default" w:ascii="Times New Roman" w:hAnsi="Times New Roman" w:eastAsia="仿宋_GB2312" w:cs="Times New Roman"/>
          <w:sz w:val="32"/>
          <w:szCs w:val="32"/>
        </w:rPr>
        <w:t>以现有污水处理厂为基础，坚持集中与分布相结合，合理布局建设污水资源化利用设施。鼓励建设分布式污水处理再生利用设施。城市已建城区以现有污水处理厂为基础，合理布局再生水利用工程，加大再生水厂及其配套管网等基础设施建设；新城（园）区提前规划布局再生水管网、调蓄设施、人工湿地净化设施等，有序开展建设。新、改、扩建建设项目，鼓励同期配套建设中水或雨水集蓄利用设施，促进非常规水源利用。</w:t>
      </w:r>
      <w:r>
        <w:rPr>
          <w:rFonts w:hint="default" w:ascii="Times New Roman" w:hAnsi="Times New Roman" w:eastAsia="仿宋_GB2312" w:cs="Times New Roman"/>
          <w:b/>
          <w:bCs/>
          <w:sz w:val="32"/>
          <w:szCs w:val="32"/>
        </w:rPr>
        <w:t>（牵头单位：</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、市水利局、市自然资源和规划局、市发展改革委按职责分工负责；参与单位：</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、市生态环境局、市农业农村局）</w:t>
      </w:r>
    </w:p>
    <w:p>
      <w:pPr>
        <w:pageBreakBefore w:val="0"/>
        <w:widowControl w:val="0"/>
        <w:numPr>
          <w:ilvl w:val="0"/>
          <w:numId w:val="1"/>
        </w:numPr>
        <w:kinsoku/>
        <w:wordWrap/>
        <w:overflowPunct/>
        <w:topLinePunct w:val="0"/>
        <w:autoSpaceDE/>
        <w:autoSpaceDN/>
        <w:bidi w:val="0"/>
        <w:adjustRightInd/>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配齐计量监测设施。</w:t>
      </w:r>
      <w:r>
        <w:rPr>
          <w:rFonts w:hint="default" w:ascii="Times New Roman" w:hAnsi="Times New Roman" w:eastAsia="仿宋_GB2312" w:cs="Times New Roman"/>
          <w:sz w:val="32"/>
          <w:szCs w:val="32"/>
        </w:rPr>
        <w:t>完善农业农村用水计量体系，推进中型灌区渠首和干支渠口门、规模以上地下水取水井监测计量设施安装，农田水利设施因地制宜配套建设实用易行的计量设施。加强地下水监测设施设备的保护工作。实施城市用户智能水表替代，提高高校、宾馆等公共场所智能计量水平。推进城市河湖湿地新鲜水生态补水全面监测计量。推动工业园区、规模以上工业企业用水计量监测全覆盖，鼓励工业企业配全三级水计量设备，推广重点取用水企业水量在线采集、实时监测。</w:t>
      </w:r>
      <w:r>
        <w:rPr>
          <w:rFonts w:hint="default" w:ascii="Times New Roman" w:hAnsi="Times New Roman" w:eastAsia="仿宋_GB2312" w:cs="Times New Roman"/>
          <w:b/>
          <w:bCs/>
          <w:sz w:val="32"/>
          <w:szCs w:val="32"/>
        </w:rPr>
        <w:t>（市水利局、</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、市农业农村局、</w:t>
      </w:r>
      <w:r>
        <w:rPr>
          <w:rFonts w:hint="default" w:eastAsia="仿宋_GB2312" w:cs="Times New Roman"/>
          <w:b/>
          <w:bCs/>
          <w:sz w:val="32"/>
          <w:szCs w:val="32"/>
        </w:rPr>
        <w:t>市市场监管局</w:t>
      </w:r>
      <w:r>
        <w:rPr>
          <w:rFonts w:hint="default" w:ascii="Times New Roman" w:hAnsi="Times New Roman" w:eastAsia="仿宋_GB2312" w:cs="Times New Roman"/>
          <w:b/>
          <w:bCs/>
          <w:sz w:val="32"/>
          <w:szCs w:val="32"/>
        </w:rPr>
        <w:t>按职责分工负责）</w:t>
      </w:r>
    </w:p>
    <w:p>
      <w:pPr>
        <w:pStyle w:val="5"/>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楷体_GB2312" w:cs="Times New Roman"/>
          <w:color w:val="auto"/>
          <w:sz w:val="32"/>
          <w:szCs w:val="32"/>
        </w:rPr>
      </w:pPr>
      <w:bookmarkStart w:id="95" w:name="_Toc27228"/>
      <w:bookmarkStart w:id="96" w:name="_Toc10376"/>
      <w:bookmarkStart w:id="97" w:name="_Toc26792"/>
      <w:bookmarkStart w:id="98" w:name="_Toc5098"/>
      <w:bookmarkStart w:id="99" w:name="_Toc100673809"/>
      <w:bookmarkStart w:id="100" w:name="_Toc18342"/>
      <w:r>
        <w:rPr>
          <w:rFonts w:hint="default" w:ascii="Times New Roman" w:hAnsi="Times New Roman" w:eastAsia="楷体_GB2312" w:cs="Times New Roman"/>
          <w:color w:val="auto"/>
          <w:sz w:val="32"/>
          <w:szCs w:val="32"/>
        </w:rPr>
        <w:t>（四）强化科技引领</w:t>
      </w:r>
      <w:bookmarkEnd w:id="95"/>
      <w:bookmarkEnd w:id="96"/>
      <w:bookmarkEnd w:id="97"/>
      <w:bookmarkEnd w:id="98"/>
      <w:bookmarkEnd w:id="99"/>
      <w:bookmarkEnd w:id="100"/>
    </w:p>
    <w:p>
      <w:pPr>
        <w:pageBreakBefore w:val="0"/>
        <w:widowControl w:val="0"/>
        <w:numPr>
          <w:ilvl w:val="0"/>
          <w:numId w:val="1"/>
        </w:numPr>
        <w:kinsoku/>
        <w:wordWrap/>
        <w:overflowPunct/>
        <w:topLinePunct w:val="0"/>
        <w:autoSpaceDE/>
        <w:autoSpaceDN/>
        <w:bidi w:val="0"/>
        <w:adjustRightInd/>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加快关键技术创新及研发。</w:t>
      </w:r>
      <w:r>
        <w:rPr>
          <w:rFonts w:hint="default" w:ascii="Times New Roman" w:hAnsi="Times New Roman" w:eastAsia="仿宋_GB2312" w:cs="Times New Roman"/>
          <w:sz w:val="32"/>
          <w:szCs w:val="32"/>
        </w:rPr>
        <w:t>推动节水技术与工艺创新，加大节水产品和技术研发。重点支持用水精准计量、水资源高效循环利用、精准节水灌溉、管网漏损监测智能化、非常规水利用等先进技术及适用设备研发。加强大数据、人工智能、区块链等新一代信息技术与节水技术、管理及产品的深入融合。省、市级科技项目优先支持用水资源高效循环利用、精准节水灌溉控制、精准计量、非常规水源利用等先进技术及设备研发。</w:t>
      </w:r>
      <w:r>
        <w:rPr>
          <w:rFonts w:hint="default" w:ascii="Times New Roman" w:hAnsi="Times New Roman" w:eastAsia="仿宋_GB2312" w:cs="Times New Roman"/>
          <w:b/>
          <w:bCs/>
          <w:sz w:val="32"/>
          <w:szCs w:val="32"/>
        </w:rPr>
        <w:t>（牵头单位：</w:t>
      </w:r>
      <w:r>
        <w:rPr>
          <w:rFonts w:hint="default" w:eastAsia="仿宋_GB2312" w:cs="Times New Roman"/>
          <w:b/>
          <w:bCs/>
          <w:sz w:val="32"/>
          <w:szCs w:val="32"/>
        </w:rPr>
        <w:t>市科技局</w:t>
      </w:r>
      <w:r>
        <w:rPr>
          <w:rFonts w:hint="default" w:ascii="Times New Roman" w:hAnsi="Times New Roman" w:eastAsia="仿宋_GB2312" w:cs="Times New Roman"/>
          <w:b/>
          <w:bCs/>
          <w:sz w:val="32"/>
          <w:szCs w:val="32"/>
        </w:rPr>
        <w:t>；参与单位：市发展改革委、市水利局、</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、市自然资源和规划局、</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、市农业农村局、</w:t>
      </w:r>
      <w:r>
        <w:rPr>
          <w:rFonts w:hint="default" w:eastAsia="仿宋_GB2312" w:cs="Times New Roman"/>
          <w:b/>
          <w:bCs/>
          <w:sz w:val="32"/>
          <w:szCs w:val="32"/>
        </w:rPr>
        <w:t>市市场监管局</w:t>
      </w:r>
      <w:r>
        <w:rPr>
          <w:rFonts w:hint="default" w:ascii="Times New Roman" w:hAnsi="Times New Roman" w:eastAsia="仿宋_GB2312" w:cs="Times New Roman"/>
          <w:b/>
          <w:bCs/>
          <w:sz w:val="32"/>
          <w:szCs w:val="32"/>
        </w:rPr>
        <w:t>）</w:t>
      </w:r>
    </w:p>
    <w:p>
      <w:pPr>
        <w:pageBreakBefore w:val="0"/>
        <w:widowControl w:val="0"/>
        <w:numPr>
          <w:ilvl w:val="0"/>
          <w:numId w:val="1"/>
        </w:numPr>
        <w:kinsoku/>
        <w:wordWrap/>
        <w:overflowPunct/>
        <w:topLinePunct w:val="0"/>
        <w:autoSpaceDE/>
        <w:autoSpaceDN/>
        <w:bidi w:val="0"/>
        <w:adjustRightInd/>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加大推广应用力度。</w:t>
      </w:r>
      <w:r>
        <w:rPr>
          <w:rFonts w:hint="default" w:ascii="Times New Roman" w:hAnsi="Times New Roman" w:eastAsia="仿宋_GB2312" w:cs="Times New Roman"/>
          <w:sz w:val="32"/>
          <w:szCs w:val="32"/>
        </w:rPr>
        <w:t>推进产学研用深度融合的节水技术创新体系建设。大力推广成熟高效的节水技术和设备产业化，支持节水产品设备制造，加强成果转化应用。推动在医药、食品等重点行业遴选一批先进适用的工业节水工艺、技术和装备。强化高新技术产业开发区、农业高新技术产业示范区等节水科技引领与示范。</w:t>
      </w:r>
      <w:r>
        <w:rPr>
          <w:rFonts w:hint="default" w:ascii="Times New Roman" w:hAnsi="Times New Roman" w:eastAsia="仿宋_GB2312" w:cs="Times New Roman"/>
          <w:b/>
          <w:bCs/>
          <w:sz w:val="32"/>
          <w:szCs w:val="32"/>
        </w:rPr>
        <w:t>（牵头单位：</w:t>
      </w:r>
      <w:r>
        <w:rPr>
          <w:rFonts w:hint="default" w:eastAsia="仿宋_GB2312" w:cs="Times New Roman"/>
          <w:b/>
          <w:bCs/>
          <w:sz w:val="32"/>
          <w:szCs w:val="32"/>
        </w:rPr>
        <w:t>市科技局、市经信局</w:t>
      </w:r>
      <w:r>
        <w:rPr>
          <w:rFonts w:hint="default" w:ascii="Times New Roman" w:hAnsi="Times New Roman" w:eastAsia="仿宋_GB2312" w:cs="Times New Roman"/>
          <w:b/>
          <w:bCs/>
          <w:sz w:val="32"/>
          <w:szCs w:val="32"/>
        </w:rPr>
        <w:t>；参与单位：市发展改革委、市水利局、</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、市自然资源和规划局、市农业农村局、市机关事务服务中心）</w:t>
      </w:r>
    </w:p>
    <w:p>
      <w:pPr>
        <w:pStyle w:val="5"/>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楷体_GB2312" w:cs="Times New Roman"/>
          <w:color w:val="auto"/>
          <w:sz w:val="32"/>
          <w:szCs w:val="32"/>
        </w:rPr>
      </w:pPr>
      <w:bookmarkStart w:id="101" w:name="_Toc100673810"/>
      <w:bookmarkStart w:id="102" w:name="_Toc5671"/>
      <w:bookmarkStart w:id="103" w:name="_Toc15118"/>
      <w:bookmarkStart w:id="104" w:name="_Toc7403"/>
      <w:bookmarkStart w:id="105" w:name="_Toc27817"/>
      <w:bookmarkStart w:id="106" w:name="_Toc20670"/>
      <w:r>
        <w:rPr>
          <w:rFonts w:hint="default" w:ascii="Times New Roman" w:hAnsi="Times New Roman" w:eastAsia="楷体_GB2312" w:cs="Times New Roman"/>
          <w:color w:val="auto"/>
          <w:sz w:val="32"/>
          <w:szCs w:val="32"/>
        </w:rPr>
        <w:t>（五）健全市场机制</w:t>
      </w:r>
      <w:bookmarkEnd w:id="101"/>
      <w:bookmarkEnd w:id="102"/>
      <w:bookmarkEnd w:id="103"/>
      <w:bookmarkEnd w:id="104"/>
      <w:bookmarkEnd w:id="105"/>
      <w:bookmarkEnd w:id="106"/>
    </w:p>
    <w:p>
      <w:pPr>
        <w:pageBreakBefore w:val="0"/>
        <w:widowControl w:val="0"/>
        <w:numPr>
          <w:ilvl w:val="0"/>
          <w:numId w:val="1"/>
        </w:numPr>
        <w:kinsoku/>
        <w:wordWrap/>
        <w:overflowPunct/>
        <w:topLinePunct w:val="0"/>
        <w:autoSpaceDE/>
        <w:autoSpaceDN/>
        <w:bidi w:val="0"/>
        <w:adjustRightInd/>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完善水价机制。</w:t>
      </w:r>
      <w:r>
        <w:rPr>
          <w:rFonts w:hint="default" w:ascii="Times New Roman" w:hAnsi="Times New Roman" w:eastAsia="仿宋_GB2312" w:cs="Times New Roman"/>
          <w:sz w:val="32"/>
          <w:szCs w:val="32"/>
        </w:rPr>
        <w:t>探索建立反映水资源稀缺程度和供水成本，有利于促进节约用水、产业结构调整和生态补偿的水价形成机制。深入推进农业水价综合改革，稳步扩大改革范围，以有效灌溉面积范围内的新增大中型灌排工程、高标准农田项目区域为重点，建立健全农业水价形成机制、精准补贴和节水奖励机制、工程建设和管护机制、用水管理机制等。合理制定农业水价，逐步实现水价不低于工程运行维护成本。完善居民生活用水阶梯水价制度，适度拉大阶梯价格级差。有序推进城镇非居民用水超定额累进加价制度，合理确定分档水量和加价标准。放开再生水政府定价，推进按照优质优价原则供需双方自主协商确定。鼓励以政府购买服务方式推动公共生态环境领域污水资源化利用。</w:t>
      </w:r>
      <w:r>
        <w:rPr>
          <w:rFonts w:hint="default" w:ascii="Times New Roman" w:hAnsi="Times New Roman" w:eastAsia="仿宋_GB2312" w:cs="Times New Roman"/>
          <w:b/>
          <w:bCs/>
          <w:sz w:val="32"/>
          <w:szCs w:val="32"/>
        </w:rPr>
        <w:t>（牵头单位：市发展改革委；参与单位：市水利局、</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、市财政局、市自然资源和规划局、</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、市农业农村局）</w:t>
      </w:r>
    </w:p>
    <w:p>
      <w:pPr>
        <w:pageBreakBefore w:val="0"/>
        <w:widowControl w:val="0"/>
        <w:numPr>
          <w:ilvl w:val="0"/>
          <w:numId w:val="1"/>
        </w:numPr>
        <w:kinsoku/>
        <w:wordWrap/>
        <w:overflowPunct/>
        <w:topLinePunct w:val="0"/>
        <w:autoSpaceDE/>
        <w:autoSpaceDN/>
        <w:bidi w:val="0"/>
        <w:adjustRightInd/>
        <w:spacing w:line="560" w:lineRule="exact"/>
        <w:ind w:firstLine="643" w:firstLineChars="200"/>
        <w:jc w:val="both"/>
        <w:textAlignment w:val="auto"/>
        <w:outlineLvl w:val="2"/>
        <w:rPr>
          <w:rFonts w:hint="default" w:ascii="Times New Roman" w:hAnsi="Times New Roman" w:eastAsia="黑体" w:cs="Times New Roman"/>
          <w:b w:val="0"/>
          <w:bCs w:val="0"/>
          <w:color w:val="auto"/>
          <w:sz w:val="36"/>
          <w:szCs w:val="36"/>
        </w:rPr>
      </w:pPr>
      <w:r>
        <w:rPr>
          <w:rFonts w:hint="default" w:ascii="Times New Roman" w:hAnsi="Times New Roman" w:eastAsia="仿宋_GB2312" w:cs="Times New Roman"/>
          <w:b/>
          <w:bCs/>
          <w:sz w:val="32"/>
          <w:szCs w:val="32"/>
        </w:rPr>
        <w:t>推广第三方节水服务。</w:t>
      </w:r>
      <w:r>
        <w:rPr>
          <w:rFonts w:hint="default" w:ascii="Times New Roman" w:hAnsi="Times New Roman" w:eastAsia="仿宋_GB2312" w:cs="Times New Roman"/>
          <w:sz w:val="32"/>
          <w:szCs w:val="32"/>
        </w:rPr>
        <w:t>探索节水、供水、排水和水处理等一体化运行管理机制。在城市公共供水管网漏损治理、公共机构、公共建筑、高耗水工业、高耗水服务业等领域推广合同节水管理。鼓励第三方节水服务企业参与节水咨询、技术改造、水平衡测试和用水绩效评价。</w:t>
      </w:r>
      <w:r>
        <w:rPr>
          <w:rFonts w:hint="default" w:ascii="Times New Roman" w:hAnsi="Times New Roman" w:eastAsia="仿宋_GB2312" w:cs="Times New Roman"/>
          <w:b/>
          <w:bCs/>
          <w:sz w:val="32"/>
          <w:szCs w:val="32"/>
        </w:rPr>
        <w:t>（牵头单位：市发展改革委、市水利局、</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按职责分工负责；参与单位：市自然资源和规划局、市农业农村局、市商务局、</w:t>
      </w:r>
      <w:r>
        <w:rPr>
          <w:rFonts w:hint="default" w:eastAsia="仿宋_GB2312" w:cs="Times New Roman"/>
          <w:b/>
          <w:bCs/>
          <w:sz w:val="32"/>
          <w:szCs w:val="32"/>
        </w:rPr>
        <w:t>市市场监管局</w:t>
      </w:r>
      <w:r>
        <w:rPr>
          <w:rFonts w:hint="default" w:ascii="Times New Roman" w:hAnsi="Times New Roman" w:eastAsia="仿宋_GB2312" w:cs="Times New Roman"/>
          <w:b/>
          <w:bCs/>
          <w:sz w:val="32"/>
          <w:szCs w:val="32"/>
        </w:rPr>
        <w:t>、市机关事务服务中心）</w:t>
      </w:r>
      <w:bookmarkStart w:id="107" w:name="_Toc21742"/>
      <w:bookmarkStart w:id="108" w:name="_Toc461"/>
      <w:bookmarkStart w:id="109" w:name="_Toc100673811"/>
      <w:bookmarkStart w:id="110" w:name="_Toc13667"/>
      <w:bookmarkStart w:id="111" w:name="_Toc14700"/>
      <w:bookmarkStart w:id="112" w:name="_Toc11211"/>
      <w:bookmarkStart w:id="113" w:name="_Toc8069361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四、重点领域</w:t>
      </w:r>
      <w:bookmarkEnd w:id="107"/>
      <w:bookmarkEnd w:id="108"/>
      <w:bookmarkEnd w:id="109"/>
      <w:bookmarkEnd w:id="110"/>
      <w:bookmarkEnd w:id="111"/>
      <w:bookmarkEnd w:id="112"/>
      <w:bookmarkEnd w:id="113"/>
    </w:p>
    <w:p>
      <w:pPr>
        <w:pageBreakBefore w:val="0"/>
        <w:numPr>
          <w:ilvl w:val="255"/>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贯彻落实习近平总书记“以水定城、以水定地、以水定人、以水定产”重要要求，聚焦农业农村、工业、城镇、非常规水源利用等重点领域，科学谋划行业重点节水工作，衔接巴中市建设</w:t>
      </w:r>
      <w:r>
        <w:rPr>
          <w:rFonts w:hint="eastAsia" w:ascii="仿宋_GB2312" w:hAnsi="仿宋_GB2312" w:eastAsia="仿宋_GB2312" w:cs="仿宋_GB2312"/>
          <w:spacing w:val="-6"/>
          <w:sz w:val="32"/>
          <w:szCs w:val="32"/>
        </w:rPr>
        <w:t>“三市两地一枢纽”的发展定位，全面推进巴中市节水型社会建设。</w:t>
      </w:r>
    </w:p>
    <w:p>
      <w:pPr>
        <w:pStyle w:val="5"/>
        <w:pageBreakBefore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楷体_GB2312" w:cs="Times New Roman"/>
          <w:color w:val="auto"/>
          <w:sz w:val="32"/>
          <w:szCs w:val="32"/>
        </w:rPr>
      </w:pPr>
      <w:bookmarkStart w:id="114" w:name="_Toc11733"/>
      <w:bookmarkStart w:id="115" w:name="_Toc80693617"/>
      <w:bookmarkStart w:id="116" w:name="_Toc15117"/>
      <w:bookmarkStart w:id="117" w:name="_Toc30619"/>
      <w:bookmarkStart w:id="118" w:name="_Toc2567"/>
      <w:bookmarkStart w:id="119" w:name="_Toc100673812"/>
      <w:bookmarkStart w:id="120" w:name="_Toc4587"/>
      <w:r>
        <w:rPr>
          <w:rFonts w:hint="default" w:ascii="Times New Roman" w:hAnsi="Times New Roman" w:eastAsia="楷体_GB2312" w:cs="Times New Roman"/>
          <w:color w:val="auto"/>
          <w:sz w:val="32"/>
          <w:szCs w:val="32"/>
        </w:rPr>
        <w:t>（一）农业农村节水</w:t>
      </w:r>
      <w:bookmarkEnd w:id="114"/>
      <w:bookmarkEnd w:id="115"/>
      <w:bookmarkEnd w:id="116"/>
      <w:bookmarkEnd w:id="117"/>
      <w:bookmarkEnd w:id="118"/>
      <w:bookmarkEnd w:id="119"/>
      <w:bookmarkEnd w:id="120"/>
    </w:p>
    <w:p>
      <w:pPr>
        <w:pStyle w:val="24"/>
        <w:pageBreakBefore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lang w:val="zh-CN"/>
        </w:rPr>
        <w:t>坚持以水定地。</w:t>
      </w:r>
      <w:r>
        <w:rPr>
          <w:rFonts w:hint="default" w:ascii="Times New Roman" w:hAnsi="Times New Roman" w:eastAsia="仿宋_GB2312" w:cs="Times New Roman"/>
          <w:b w:val="0"/>
          <w:sz w:val="32"/>
          <w:szCs w:val="32"/>
        </w:rPr>
        <w:t>统筹考虑全市粮食安全和水资源条件，合理确定水土开发规模。针对全市的粮油生产、茶叶产业、核桃产业、中药材产业、青花椒产业、芦笋产业、金银花产业等主导或特色产业基地建设，合理布局农作物种植结构，降低耕地开发利用强度和高耗水作物的种植面积，改良耕作制度，实行轮作休耕。推进灌溉用水定额管理，建立节约高效的农业用水制度。</w:t>
      </w:r>
      <w:r>
        <w:rPr>
          <w:rFonts w:hint="default" w:ascii="Times New Roman" w:hAnsi="Times New Roman" w:eastAsia="仿宋_GB2312" w:cs="Times New Roman"/>
          <w:bCs/>
          <w:sz w:val="32"/>
          <w:szCs w:val="32"/>
        </w:rPr>
        <w:t>（牵头单位：</w:t>
      </w:r>
      <w:r>
        <w:rPr>
          <w:rFonts w:hint="default" w:ascii="Times New Roman" w:hAnsi="Times New Roman" w:eastAsia="仿宋_GB2312" w:cs="Times New Roman"/>
          <w:b/>
          <w:bCs/>
          <w:sz w:val="32"/>
          <w:szCs w:val="32"/>
        </w:rPr>
        <w:t>市</w:t>
      </w:r>
      <w:r>
        <w:rPr>
          <w:rFonts w:hint="default" w:ascii="Times New Roman" w:hAnsi="Times New Roman" w:eastAsia="仿宋_GB2312" w:cs="Times New Roman"/>
          <w:bCs/>
          <w:sz w:val="32"/>
          <w:szCs w:val="32"/>
        </w:rPr>
        <w:t>农业农村局、</w:t>
      </w:r>
      <w:r>
        <w:rPr>
          <w:rFonts w:hint="default" w:ascii="Times New Roman" w:hAnsi="Times New Roman" w:eastAsia="仿宋_GB2312" w:cs="Times New Roman"/>
          <w:b/>
          <w:bCs/>
          <w:sz w:val="32"/>
          <w:szCs w:val="32"/>
        </w:rPr>
        <w:t>市</w:t>
      </w:r>
      <w:r>
        <w:rPr>
          <w:rFonts w:hint="default" w:ascii="Times New Roman" w:hAnsi="Times New Roman" w:eastAsia="仿宋_GB2312" w:cs="Times New Roman"/>
          <w:bCs/>
          <w:sz w:val="32"/>
          <w:szCs w:val="32"/>
        </w:rPr>
        <w:t>水利局、</w:t>
      </w:r>
      <w:r>
        <w:rPr>
          <w:rFonts w:hint="default" w:ascii="Times New Roman" w:hAnsi="Times New Roman" w:eastAsia="仿宋_GB2312" w:cs="Times New Roman"/>
          <w:b/>
          <w:bCs/>
          <w:sz w:val="32"/>
          <w:szCs w:val="32"/>
        </w:rPr>
        <w:t>市</w:t>
      </w:r>
      <w:r>
        <w:rPr>
          <w:rFonts w:hint="default" w:ascii="Times New Roman" w:hAnsi="Times New Roman" w:eastAsia="仿宋_GB2312" w:cs="Times New Roman"/>
          <w:bCs/>
          <w:sz w:val="32"/>
          <w:szCs w:val="32"/>
        </w:rPr>
        <w:t>自然资源和规划局按职责分工负责；参与单位：市发展改革委）</w:t>
      </w:r>
    </w:p>
    <w:p>
      <w:pPr>
        <w:pStyle w:val="24"/>
        <w:pageBreakBefore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lang w:val="zh-CN"/>
        </w:rPr>
        <w:t>推进节水灌溉。</w:t>
      </w:r>
      <w:r>
        <w:rPr>
          <w:rFonts w:hint="default" w:ascii="Times New Roman" w:hAnsi="Times New Roman" w:eastAsia="仿宋_GB2312" w:cs="Times New Roman"/>
          <w:b w:val="0"/>
          <w:sz w:val="32"/>
          <w:szCs w:val="32"/>
        </w:rPr>
        <w:t>加快灌区续建配套和现代化节水改造，分区域规模化推进高效节水灌溉工程。结合高标准农田建设，加大田间节水设施建设力度。开展农业用水精细化管理，大力推广先进适用的管灌、喷灌、微灌等节水灌溉技术，提高“智慧灌溉”水平，加强高效节水灌溉工程与农艺、农机、生物、管理等措施的集成与融合。因地制宜开展“坡改梯”工程建设，建设农业节水工程，改进耕作方式，推广集雨补灌、水肥一体化、秸秆覆盖保墒等农业节水技术和节水抗旱品种。</w:t>
      </w:r>
      <w:r>
        <w:rPr>
          <w:rFonts w:hint="default" w:ascii="Times New Roman" w:hAnsi="Times New Roman" w:eastAsia="仿宋_GB2312" w:cs="Times New Roman"/>
          <w:bCs/>
          <w:sz w:val="32"/>
          <w:szCs w:val="32"/>
        </w:rPr>
        <w:t>（牵头单位：</w:t>
      </w:r>
      <w:r>
        <w:rPr>
          <w:rFonts w:hint="default" w:ascii="Times New Roman" w:hAnsi="Times New Roman" w:eastAsia="仿宋_GB2312" w:cs="Times New Roman"/>
          <w:b/>
          <w:bCs/>
          <w:sz w:val="32"/>
          <w:szCs w:val="32"/>
        </w:rPr>
        <w:t>市</w:t>
      </w:r>
      <w:r>
        <w:rPr>
          <w:rFonts w:hint="default" w:ascii="Times New Roman" w:hAnsi="Times New Roman" w:eastAsia="仿宋_GB2312" w:cs="Times New Roman"/>
          <w:bCs/>
          <w:sz w:val="32"/>
          <w:szCs w:val="32"/>
        </w:rPr>
        <w:t>农业农村局、</w:t>
      </w:r>
      <w:r>
        <w:rPr>
          <w:rFonts w:hint="default" w:ascii="Times New Roman" w:hAnsi="Times New Roman" w:eastAsia="仿宋_GB2312" w:cs="Times New Roman"/>
          <w:b/>
          <w:bCs/>
          <w:sz w:val="32"/>
          <w:szCs w:val="32"/>
        </w:rPr>
        <w:t>市</w:t>
      </w:r>
      <w:r>
        <w:rPr>
          <w:rFonts w:hint="default" w:ascii="Times New Roman" w:hAnsi="Times New Roman" w:eastAsia="仿宋_GB2312" w:cs="Times New Roman"/>
          <w:bCs/>
          <w:sz w:val="32"/>
          <w:szCs w:val="32"/>
        </w:rPr>
        <w:t>水利局按职责分工负责；参与单位：市发展改革委、</w:t>
      </w:r>
      <w:r>
        <w:rPr>
          <w:rFonts w:hint="default" w:eastAsia="仿宋_GB2312" w:cs="Times New Roman"/>
          <w:b/>
          <w:bCs/>
          <w:sz w:val="32"/>
          <w:szCs w:val="32"/>
        </w:rPr>
        <w:t>市科技局</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
          <w:bCs/>
          <w:sz w:val="32"/>
          <w:szCs w:val="32"/>
        </w:rPr>
        <w:t>市</w:t>
      </w:r>
      <w:r>
        <w:rPr>
          <w:rFonts w:hint="default" w:ascii="Times New Roman" w:hAnsi="Times New Roman" w:eastAsia="仿宋_GB2312" w:cs="Times New Roman"/>
          <w:bCs/>
          <w:sz w:val="32"/>
          <w:szCs w:val="32"/>
        </w:rPr>
        <w:t>财政局）</w:t>
      </w:r>
    </w:p>
    <w:p>
      <w:pPr>
        <w:pStyle w:val="24"/>
        <w:pageBreakBefore w:val="0"/>
        <w:widowControl/>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推进畜牧渔业节水。</w:t>
      </w:r>
      <w:r>
        <w:rPr>
          <w:rFonts w:hint="default" w:ascii="Times New Roman" w:hAnsi="Times New Roman" w:eastAsia="仿宋_GB2312" w:cs="Times New Roman"/>
          <w:b w:val="0"/>
          <w:sz w:val="32"/>
          <w:szCs w:val="32"/>
        </w:rPr>
        <w:t>引导畜禽规模养殖场节约场舍冲洗用水。实施规模化养殖场的节水标准化改造和建设，推进养殖污水无害化处理和适度再生利用，提高畜禽饮水、畜禽养殖场舍冲洗、粪便污水资源化等用水效率，推行先进适用的节水型畜禽养殖方式，推广节水型饲喂设备、机械干清粪等技术和工艺。发展节水渔业，发展绿色高效水产养殖模式，积极推广池塘和工厂化循环水养殖、稻渔综合种养、盐碱水养殖等水产养殖节水减排技术。</w:t>
      </w:r>
      <w:r>
        <w:rPr>
          <w:rFonts w:hint="default" w:ascii="Times New Roman" w:hAnsi="Times New Roman" w:eastAsia="仿宋_GB2312" w:cs="Times New Roman"/>
          <w:bCs/>
          <w:sz w:val="32"/>
          <w:szCs w:val="32"/>
        </w:rPr>
        <w:t>（牵头单位：</w:t>
      </w:r>
      <w:r>
        <w:rPr>
          <w:rFonts w:hint="default" w:ascii="Times New Roman" w:hAnsi="Times New Roman" w:eastAsia="仿宋_GB2312" w:cs="Times New Roman"/>
          <w:b/>
          <w:bCs/>
          <w:sz w:val="32"/>
          <w:szCs w:val="32"/>
        </w:rPr>
        <w:t>市</w:t>
      </w:r>
      <w:r>
        <w:rPr>
          <w:rFonts w:hint="default" w:ascii="Times New Roman" w:hAnsi="Times New Roman" w:eastAsia="仿宋_GB2312" w:cs="Times New Roman"/>
          <w:bCs/>
          <w:sz w:val="32"/>
          <w:szCs w:val="32"/>
        </w:rPr>
        <w:t>农业农村局；参与单位：市发展改革委、</w:t>
      </w:r>
      <w:r>
        <w:rPr>
          <w:rFonts w:hint="default" w:ascii="Times New Roman" w:hAnsi="Times New Roman" w:eastAsia="仿宋_GB2312" w:cs="Times New Roman"/>
          <w:b/>
          <w:bCs/>
          <w:sz w:val="32"/>
          <w:szCs w:val="32"/>
        </w:rPr>
        <w:t>市</w:t>
      </w:r>
      <w:r>
        <w:rPr>
          <w:rFonts w:hint="default" w:ascii="Times New Roman" w:hAnsi="Times New Roman" w:eastAsia="仿宋_GB2312" w:cs="Times New Roman"/>
          <w:bCs/>
          <w:sz w:val="32"/>
          <w:szCs w:val="32"/>
        </w:rPr>
        <w:t>水利局、</w:t>
      </w:r>
      <w:r>
        <w:rPr>
          <w:rFonts w:hint="default" w:eastAsia="仿宋_GB2312" w:cs="Times New Roman"/>
          <w:b/>
          <w:bCs/>
          <w:sz w:val="32"/>
          <w:szCs w:val="32"/>
        </w:rPr>
        <w:t>市科技局</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
          <w:bCs/>
          <w:sz w:val="32"/>
          <w:szCs w:val="32"/>
        </w:rPr>
        <w:t>市</w:t>
      </w:r>
      <w:r>
        <w:rPr>
          <w:rFonts w:hint="default" w:ascii="Times New Roman" w:hAnsi="Times New Roman" w:eastAsia="仿宋_GB2312" w:cs="Times New Roman"/>
          <w:bCs/>
          <w:sz w:val="32"/>
          <w:szCs w:val="32"/>
        </w:rPr>
        <w:t>自然资源和规划局）</w:t>
      </w:r>
    </w:p>
    <w:p>
      <w:pPr>
        <w:pStyle w:val="24"/>
        <w:pageBreakBefore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推进农村生活节水。</w:t>
      </w:r>
      <w:r>
        <w:rPr>
          <w:rFonts w:hint="default" w:ascii="Times New Roman" w:hAnsi="Times New Roman" w:eastAsia="仿宋_GB2312" w:cs="Times New Roman"/>
          <w:b w:val="0"/>
          <w:sz w:val="32"/>
          <w:szCs w:val="32"/>
        </w:rPr>
        <w:t>结合新型城镇化和乡村振兴战略，加快村镇生活供水设施及配套管网建设与改造，配备安装计量设施，提高农村生活节水器具普及率。推进农村“厕所革命”，推广使用节水器具，创造良好节水条件。因地制宜推进农村污水资源化利用，推广“生物+生态”等易维护、低成本、低能耗污水处理技术，鼓励农村污水就地就近处理回用。</w:t>
      </w:r>
      <w:r>
        <w:rPr>
          <w:rFonts w:hint="default" w:ascii="Times New Roman" w:hAnsi="Times New Roman" w:eastAsia="仿宋_GB2312" w:cs="Times New Roman"/>
          <w:bCs/>
          <w:sz w:val="32"/>
          <w:szCs w:val="32"/>
        </w:rPr>
        <w:t>（牵头单位：</w:t>
      </w:r>
      <w:r>
        <w:rPr>
          <w:rFonts w:hint="default" w:ascii="Times New Roman" w:hAnsi="Times New Roman" w:eastAsia="仿宋_GB2312" w:cs="Times New Roman"/>
          <w:b/>
          <w:bCs/>
          <w:sz w:val="32"/>
          <w:szCs w:val="32"/>
        </w:rPr>
        <w:t>市</w:t>
      </w:r>
      <w:r>
        <w:rPr>
          <w:rFonts w:hint="default" w:ascii="Times New Roman" w:hAnsi="Times New Roman" w:eastAsia="仿宋_GB2312" w:cs="Times New Roman"/>
          <w:bCs/>
          <w:sz w:val="32"/>
          <w:szCs w:val="32"/>
        </w:rPr>
        <w:t>水利局、</w:t>
      </w:r>
      <w:r>
        <w:rPr>
          <w:rFonts w:hint="default" w:ascii="Times New Roman" w:hAnsi="Times New Roman" w:eastAsia="仿宋_GB2312" w:cs="Times New Roman"/>
          <w:b/>
          <w:bCs/>
          <w:sz w:val="32"/>
          <w:szCs w:val="32"/>
        </w:rPr>
        <w:t>市</w:t>
      </w:r>
      <w:r>
        <w:rPr>
          <w:rFonts w:hint="default" w:ascii="Times New Roman" w:hAnsi="Times New Roman" w:eastAsia="仿宋_GB2312" w:cs="Times New Roman"/>
          <w:bCs/>
          <w:sz w:val="32"/>
          <w:szCs w:val="32"/>
        </w:rPr>
        <w:t>农业农村局、</w:t>
      </w:r>
      <w:r>
        <w:rPr>
          <w:rFonts w:hint="default" w:ascii="Times New Roman" w:hAnsi="Times New Roman" w:eastAsia="仿宋_GB2312" w:cs="Times New Roman"/>
          <w:b/>
          <w:bCs/>
          <w:sz w:val="32"/>
          <w:szCs w:val="32"/>
        </w:rPr>
        <w:t>市</w:t>
      </w:r>
      <w:r>
        <w:rPr>
          <w:rFonts w:hint="default" w:ascii="Times New Roman" w:hAnsi="Times New Roman" w:eastAsia="仿宋_GB2312" w:cs="Times New Roman"/>
          <w:bCs/>
          <w:sz w:val="32"/>
          <w:szCs w:val="32"/>
        </w:rPr>
        <w:t>生态环境局按职责分工负责；参与单位：市发展改革委、</w:t>
      </w:r>
      <w:r>
        <w:rPr>
          <w:rFonts w:hint="default" w:ascii="Times New Roman" w:hAnsi="Times New Roman" w:eastAsia="仿宋_GB2312" w:cs="Times New Roman"/>
          <w:b/>
          <w:bCs/>
          <w:sz w:val="32"/>
          <w:szCs w:val="32"/>
        </w:rPr>
        <w:t>市</w:t>
      </w:r>
      <w:r>
        <w:rPr>
          <w:rFonts w:hint="default" w:ascii="Times New Roman" w:hAnsi="Times New Roman" w:eastAsia="仿宋_GB2312" w:cs="Times New Roman"/>
          <w:bCs/>
          <w:sz w:val="32"/>
          <w:szCs w:val="32"/>
        </w:rPr>
        <w:t>财政局、</w:t>
      </w:r>
      <w:r>
        <w:rPr>
          <w:rFonts w:hint="default" w:eastAsia="仿宋_GB2312" w:cs="Times New Roman"/>
          <w:b/>
          <w:bCs/>
          <w:sz w:val="32"/>
          <w:szCs w:val="32"/>
        </w:rPr>
        <w:t>市住房城乡建设局</w:t>
      </w:r>
      <w:r>
        <w:rPr>
          <w:rFonts w:hint="default" w:ascii="Times New Roman" w:hAnsi="Times New Roman" w:eastAsia="仿宋_GB2312" w:cs="Times New Roman"/>
          <w:bCs/>
          <w:sz w:val="32"/>
          <w:szCs w:val="32"/>
        </w:rPr>
        <w:t>、市卫生健康委）</w:t>
      </w:r>
    </w:p>
    <w:p>
      <w:pPr>
        <w:pStyle w:val="24"/>
        <w:pageBreakBefore w:val="0"/>
        <w:widowControl/>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cs="Times New Roman"/>
          <w:bCs/>
        </w:rPr>
      </w:pPr>
      <w:r>
        <w:rPr>
          <w:rFonts w:hint="default" w:ascii="Times New Roman" w:hAnsi="Times New Roman" w:eastAsia="仿宋_GB2312" w:cs="Times New Roman"/>
          <w:bCs/>
          <w:sz w:val="32"/>
          <w:szCs w:val="32"/>
        </w:rPr>
        <w:t>深化农业水价改革。</w:t>
      </w:r>
      <w:r>
        <w:rPr>
          <w:rFonts w:hint="default" w:ascii="Times New Roman" w:hAnsi="Times New Roman" w:eastAsia="仿宋_GB2312" w:cs="Times New Roman"/>
          <w:b w:val="0"/>
          <w:sz w:val="32"/>
          <w:szCs w:val="32"/>
        </w:rPr>
        <w:t>深入推进农业水价综合改革，进一步扩大推广农业水价综合改革范围，完善农业水价形成机制，建立健全农业节水精准补贴机制、工程建设和管护机制、用水管理机制等。加大水利工程非农业供水价格调整力度，推行两部制水价、分类水价和丰枯季节水价。合理制定农业水价，逐步实现水价不低于工程运行维护成本。</w:t>
      </w:r>
      <w:r>
        <w:rPr>
          <w:rFonts w:hint="default" w:ascii="Times New Roman" w:hAnsi="Times New Roman" w:eastAsia="仿宋_GB2312" w:cs="Times New Roman"/>
          <w:bCs/>
          <w:sz w:val="32"/>
          <w:szCs w:val="32"/>
        </w:rPr>
        <w:t>（牵头单位：</w:t>
      </w:r>
      <w:r>
        <w:rPr>
          <w:rFonts w:hint="default" w:ascii="Times New Roman" w:hAnsi="Times New Roman" w:eastAsia="仿宋_GB2312" w:cs="Times New Roman"/>
          <w:b/>
          <w:bCs/>
          <w:sz w:val="32"/>
          <w:szCs w:val="32"/>
        </w:rPr>
        <w:t>市</w:t>
      </w:r>
      <w:r>
        <w:rPr>
          <w:rFonts w:hint="default" w:ascii="Times New Roman" w:hAnsi="Times New Roman" w:eastAsia="仿宋_GB2312" w:cs="Times New Roman"/>
          <w:bCs/>
          <w:sz w:val="32"/>
          <w:szCs w:val="32"/>
        </w:rPr>
        <w:t>水利局、</w:t>
      </w:r>
      <w:r>
        <w:rPr>
          <w:rFonts w:hint="default" w:ascii="Times New Roman" w:hAnsi="Times New Roman" w:eastAsia="仿宋_GB2312" w:cs="Times New Roman"/>
          <w:b/>
          <w:bCs/>
          <w:sz w:val="32"/>
          <w:szCs w:val="32"/>
        </w:rPr>
        <w:t>市</w:t>
      </w:r>
      <w:r>
        <w:rPr>
          <w:rFonts w:hint="default" w:ascii="Times New Roman" w:hAnsi="Times New Roman" w:eastAsia="仿宋_GB2312" w:cs="Times New Roman"/>
          <w:bCs/>
          <w:sz w:val="32"/>
          <w:szCs w:val="32"/>
        </w:rPr>
        <w:t>农业农村局、市发展改革委、</w:t>
      </w:r>
      <w:r>
        <w:rPr>
          <w:rFonts w:hint="default" w:ascii="Times New Roman" w:hAnsi="Times New Roman" w:eastAsia="仿宋_GB2312" w:cs="Times New Roman"/>
          <w:b/>
          <w:bCs/>
          <w:sz w:val="32"/>
          <w:szCs w:val="32"/>
        </w:rPr>
        <w:t>市</w:t>
      </w:r>
      <w:r>
        <w:rPr>
          <w:rFonts w:hint="default" w:ascii="Times New Roman" w:hAnsi="Times New Roman" w:eastAsia="仿宋_GB2312" w:cs="Times New Roman"/>
          <w:bCs/>
          <w:sz w:val="32"/>
          <w:szCs w:val="32"/>
        </w:rPr>
        <w:t>财政局按职责分工负责）</w:t>
      </w:r>
    </w:p>
    <w:tbl>
      <w:tblPr>
        <w:tblStyle w:val="19"/>
        <w:tblW w:w="8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8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2" w:hRule="atLeast"/>
          <w:jc w:val="center"/>
        </w:trPr>
        <w:tc>
          <w:tcPr>
            <w:tcW w:w="8851" w:type="dxa"/>
            <w:tcBorders>
              <w:top w:val="nil"/>
              <w:left w:val="nil"/>
              <w:bottom w:val="single" w:color="auto" w:sz="4" w:space="0"/>
              <w:right w:val="nil"/>
            </w:tcBorders>
            <w:vAlign w:val="center"/>
          </w:tcPr>
          <w:p>
            <w:pPr>
              <w:snapToGrid w:val="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专栏1  农业节水重点任务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47" w:hRule="atLeast"/>
          <w:jc w:val="center"/>
        </w:trPr>
        <w:tc>
          <w:tcPr>
            <w:tcW w:w="8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1.整合骨干重点水利工程，大力推进大中型灌区续建配套与现代化节水改造；实现大中型灌区渠首取水口在线计量全覆盖，中型灌区干支渠及小型灌区渠首规范计量，强化农业用水精细化管理。</w:t>
            </w:r>
          </w:p>
          <w:p>
            <w:pPr>
              <w:snapToGrid w:val="0"/>
              <w:spacing w:line="360" w:lineRule="auto"/>
              <w:ind w:firstLine="480"/>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2.因地制宜推进高效节水灌溉工程，十四五期间全市新增</w:t>
            </w:r>
            <w:r>
              <w:rPr>
                <w:rFonts w:hint="default" w:ascii="Times New Roman" w:hAnsi="Times New Roman" w:eastAsia="楷体_GB2312" w:cs="Times New Roman"/>
                <w:sz w:val="24"/>
                <w:szCs w:val="24"/>
                <w:lang w:val="en-US" w:eastAsia="zh-CN"/>
              </w:rPr>
              <w:t>6.9</w:t>
            </w:r>
            <w:r>
              <w:rPr>
                <w:rFonts w:hint="default" w:ascii="Times New Roman" w:hAnsi="Times New Roman" w:eastAsia="楷体_GB2312" w:cs="Times New Roman"/>
                <w:sz w:val="24"/>
                <w:szCs w:val="24"/>
              </w:rPr>
              <w:t>万亩高效节水灌溉面积。</w:t>
            </w:r>
          </w:p>
          <w:p>
            <w:pPr>
              <w:snapToGrid w:val="0"/>
              <w:spacing w:line="360" w:lineRule="auto"/>
              <w:ind w:firstLine="480"/>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3.到2025年，全市基本完成农业水价综合改革任务。</w:t>
            </w:r>
          </w:p>
          <w:p>
            <w:pPr>
              <w:snapToGrid w:val="0"/>
              <w:spacing w:line="360" w:lineRule="auto"/>
              <w:ind w:firstLine="480"/>
              <w:rPr>
                <w:rFonts w:hint="default" w:ascii="Times New Roman" w:hAnsi="Times New Roman" w:eastAsia="宋体" w:cs="Times New Roman"/>
              </w:rPr>
            </w:pPr>
            <w:r>
              <w:rPr>
                <w:rFonts w:hint="default" w:ascii="Times New Roman" w:hAnsi="Times New Roman" w:eastAsia="楷体_GB2312" w:cs="Times New Roman"/>
                <w:sz w:val="24"/>
                <w:szCs w:val="24"/>
              </w:rPr>
              <w:t>4.到2025年，全市创建</w:t>
            </w:r>
            <w:r>
              <w:rPr>
                <w:rFonts w:hint="default" w:ascii="Times New Roman" w:hAnsi="Times New Roman" w:eastAsia="楷体_GB2312" w:cs="Times New Roman"/>
                <w:sz w:val="24"/>
                <w:szCs w:val="24"/>
                <w:highlight w:val="none"/>
              </w:rPr>
              <w:t>1个节水型灌区，</w:t>
            </w:r>
            <w:r>
              <w:rPr>
                <w:rFonts w:hint="default" w:ascii="Times New Roman" w:hAnsi="Times New Roman" w:eastAsia="楷体_GB2312" w:cs="Times New Roman"/>
                <w:sz w:val="24"/>
                <w:szCs w:val="24"/>
              </w:rPr>
              <w:t>3处畜牧渔节水示范工程</w:t>
            </w:r>
            <w:r>
              <w:rPr>
                <w:rFonts w:hint="default" w:ascii="Times New Roman" w:hAnsi="Times New Roman" w:cs="Times New Roman"/>
                <w:sz w:val="24"/>
                <w:szCs w:val="24"/>
              </w:rPr>
              <w:t>。</w:t>
            </w:r>
          </w:p>
        </w:tc>
      </w:tr>
    </w:tbl>
    <w:p>
      <w:pPr>
        <w:pStyle w:val="5"/>
        <w:pageBreakBefore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楷体_GB2312" w:cs="Times New Roman"/>
          <w:color w:val="auto"/>
          <w:sz w:val="32"/>
          <w:szCs w:val="32"/>
        </w:rPr>
      </w:pPr>
      <w:bookmarkStart w:id="121" w:name="_Toc100673813"/>
      <w:bookmarkStart w:id="122" w:name="_Toc32100"/>
      <w:bookmarkStart w:id="123" w:name="_Toc7915"/>
      <w:bookmarkStart w:id="124" w:name="_Toc6640"/>
      <w:bookmarkStart w:id="125" w:name="_Toc30634"/>
      <w:bookmarkStart w:id="126" w:name="_Toc80693618"/>
      <w:bookmarkStart w:id="127" w:name="_Toc26259"/>
      <w:r>
        <w:rPr>
          <w:rFonts w:hint="default" w:ascii="Times New Roman" w:hAnsi="Times New Roman" w:eastAsia="楷体_GB2312" w:cs="Times New Roman"/>
          <w:color w:val="auto"/>
          <w:sz w:val="32"/>
          <w:szCs w:val="32"/>
        </w:rPr>
        <w:t>（二）工业节水</w:t>
      </w:r>
      <w:bookmarkEnd w:id="121"/>
      <w:bookmarkEnd w:id="122"/>
      <w:bookmarkEnd w:id="123"/>
      <w:bookmarkEnd w:id="124"/>
      <w:bookmarkEnd w:id="125"/>
      <w:bookmarkEnd w:id="126"/>
      <w:bookmarkEnd w:id="127"/>
    </w:p>
    <w:p>
      <w:pPr>
        <w:keepNext w:val="0"/>
        <w:keepLines w:val="0"/>
        <w:pageBreakBefore w:val="0"/>
        <w:widowControl w:val="0"/>
        <w:kinsoku/>
        <w:wordWrap/>
        <w:overflowPunct/>
        <w:topLinePunct w:val="0"/>
        <w:autoSpaceDE/>
        <w:autoSpaceDN/>
        <w:bidi w:val="0"/>
        <w:adjustRightInd/>
        <w:spacing w:line="540" w:lineRule="exact"/>
        <w:ind w:left="0"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19. 坚持以水定产。</w:t>
      </w:r>
      <w:r>
        <w:rPr>
          <w:rFonts w:hint="default" w:ascii="Times New Roman" w:hAnsi="Times New Roman" w:eastAsia="仿宋_GB2312" w:cs="Times New Roman"/>
          <w:sz w:val="32"/>
          <w:szCs w:val="32"/>
        </w:rPr>
        <w:t>强化水资源水环境承载力约束，合理规划工业发展布局和规模，优化调整产业结构。重点构筑“一核心五组团”的工业总体空间结构，形成各具特色、错位发展、优势互补、布局合理、功能完善的新型工业空间格局。“一核心”即巴中经开区作为工业发展的核心区，产业布局重点以节水环保的生物医药、新能源新材料产业为主加快创建国家级经开区，水资源消耗、污染物排放强度达到或接近国内先进水平。“五组团”包括平昌县经开区、巴州工业园、恩阳工业园、南江工业园、通江工业园，空间上构成五个组团，限制、淘汰高耗水、高污染生产线，每个组团以水定产、因地制宜地确定1个主导产业和1个特色产业，形成产业集群集聚发展格局。通过调整经济结构和产业布局，建立清洁生产、循环利用、达标排放的工业组团用水体系。</w:t>
      </w:r>
      <w:r>
        <w:rPr>
          <w:rFonts w:hint="default" w:ascii="Times New Roman" w:hAnsi="Times New Roman" w:eastAsia="仿宋_GB2312" w:cs="Times New Roman"/>
          <w:b/>
          <w:bCs/>
          <w:sz w:val="32"/>
          <w:szCs w:val="32"/>
        </w:rPr>
        <w:t>（牵头单位：</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、市水利局、市发展改革委；参与单位：市自然资源和规划局、市生态环境局、</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w:t>
      </w:r>
      <w:r>
        <w:rPr>
          <w:rFonts w:hint="default" w:eastAsia="仿宋_GB2312" w:cs="Times New Roman"/>
          <w:b/>
          <w:bCs/>
          <w:sz w:val="32"/>
          <w:szCs w:val="32"/>
        </w:rPr>
        <w:t>市市场监管局</w:t>
      </w:r>
      <w:r>
        <w:rPr>
          <w:rFonts w:hint="default" w:ascii="Times New Roman" w:hAnsi="Times New Roman" w:eastAsia="仿宋_GB2312" w:cs="Times New Roman"/>
          <w:b/>
          <w:bCs/>
          <w:sz w:val="32"/>
          <w:szCs w:val="32"/>
        </w:rPr>
        <w:t>）</w:t>
      </w:r>
    </w:p>
    <w:p>
      <w:pPr>
        <w:keepNext w:val="0"/>
        <w:keepLines w:val="0"/>
        <w:pageBreakBefore w:val="0"/>
        <w:widowControl w:val="0"/>
        <w:numPr>
          <w:ilvl w:val="255"/>
          <w:numId w:val="0"/>
        </w:numPr>
        <w:kinsoku/>
        <w:wordWrap/>
        <w:overflowPunct/>
        <w:topLinePunct w:val="0"/>
        <w:autoSpaceDE/>
        <w:autoSpaceDN/>
        <w:bidi w:val="0"/>
        <w:adjustRightInd/>
        <w:spacing w:line="540" w:lineRule="exact"/>
        <w:ind w:left="0"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20. 推进工业节水减污。</w:t>
      </w:r>
      <w:r>
        <w:rPr>
          <w:rFonts w:hint="default" w:ascii="Times New Roman" w:hAnsi="Times New Roman" w:eastAsia="仿宋_GB2312" w:cs="Times New Roman"/>
          <w:sz w:val="32"/>
          <w:szCs w:val="32"/>
        </w:rPr>
        <w:t>在全市建立供用水计量体系和在线监测系统，强化生产用水管理，加强对重点监控用水户日常监管，建立用水效率跟踪体系。强化高耗水行业用水定额管理，对食品、医药等耗水量大</w:t>
      </w:r>
      <w:r>
        <w:rPr>
          <w:rFonts w:hint="default" w:ascii="Times New Roman" w:hAnsi="Times New Roman" w:eastAsia="仿宋_GB2312" w:cs="Times New Roman"/>
          <w:sz w:val="32"/>
          <w:szCs w:val="32"/>
          <w:highlight w:val="none"/>
        </w:rPr>
        <w:t>、污染高的用水行业，推广循环用水、污水再生利用、非常规水利用、治污技术改造等节水技术，降低单位产品新水量，提高企业用水效率和效益。重点企业开展水平衡测试、用水审计及水效对标。到</w:t>
      </w:r>
      <w:r>
        <w:rPr>
          <w:rFonts w:hint="default" w:ascii="Times New Roman" w:hAnsi="Times New Roman" w:eastAsia="仿宋_GB2312" w:cs="Times New Roman"/>
          <w:sz w:val="32"/>
          <w:szCs w:val="32"/>
        </w:rPr>
        <w:t>2025年，巴中市在化工、食品等高耗水行业建成一批节水型企业</w:t>
      </w:r>
      <w:r>
        <w:rPr>
          <w:rFonts w:hint="default" w:ascii="Times New Roman" w:hAnsi="Times New Roman" w:eastAsia="仿宋_GB2312" w:cs="Times New Roman"/>
          <w:b/>
          <w:bCs/>
          <w:sz w:val="32"/>
          <w:szCs w:val="32"/>
        </w:rPr>
        <w:t>（牵头单位：</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、市水利局；参与单位：市生态环境局、市发展改革委、</w:t>
      </w:r>
      <w:r>
        <w:rPr>
          <w:rFonts w:hint="default" w:eastAsia="仿宋_GB2312" w:cs="Times New Roman"/>
          <w:b/>
          <w:bCs/>
          <w:sz w:val="32"/>
          <w:szCs w:val="32"/>
        </w:rPr>
        <w:t>市市场监管局</w:t>
      </w:r>
      <w:r>
        <w:rPr>
          <w:rFonts w:hint="default" w:ascii="Times New Roman" w:hAnsi="Times New Roman" w:eastAsia="仿宋_GB2312" w:cs="Times New Roman"/>
          <w:b/>
          <w:bCs/>
          <w:sz w:val="32"/>
          <w:szCs w:val="32"/>
        </w:rPr>
        <w:t>）</w:t>
      </w:r>
    </w:p>
    <w:p>
      <w:pPr>
        <w:keepNext w:val="0"/>
        <w:keepLines w:val="0"/>
        <w:pageBreakBefore w:val="0"/>
        <w:widowControl w:val="0"/>
        <w:numPr>
          <w:ilvl w:val="255"/>
          <w:numId w:val="0"/>
        </w:numPr>
        <w:kinsoku/>
        <w:wordWrap/>
        <w:overflowPunct/>
        <w:topLinePunct w:val="0"/>
        <w:autoSpaceDE/>
        <w:autoSpaceDN/>
        <w:bidi w:val="0"/>
        <w:adjustRightInd/>
        <w:snapToGrid w:val="0"/>
        <w:spacing w:line="540" w:lineRule="exact"/>
        <w:ind w:left="0"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21. 开展节水型工业园区建设。</w:t>
      </w:r>
      <w:r>
        <w:rPr>
          <w:rFonts w:hint="default" w:ascii="Times New Roman" w:hAnsi="Times New Roman" w:eastAsia="仿宋_GB2312" w:cs="Times New Roman"/>
          <w:sz w:val="32"/>
          <w:szCs w:val="32"/>
        </w:rPr>
        <w:t>结合节能减碳项目、绿色园区建设，创建节水型工业园区。严格控制高耗水新改扩建项目，推进高耗水企业向水资源条件允许的工业园区集中，新建企业和园区要在规划布局时，统筹供排水、水处理及循环利用设施建设，推动企业间的用水系统集成优化。以秦巴生物医药产业园和经开区新能源产业园为中心，推动现有企业和园区开展以节水为重点内容的绿色高质量转型升级和水资源循环化改造，推动重点企业冷却水循环利用，促进企业间串联用水、分质用水，建立工业园区节水、废水处理及资源化专业技术支撑体系，在巴中经开区工业园、通江县春在工业园等工业园区开展资源高效循环利用项目，积极创建节水型工业园区。</w:t>
      </w:r>
      <w:r>
        <w:rPr>
          <w:rFonts w:hint="default" w:ascii="Times New Roman" w:hAnsi="Times New Roman" w:eastAsia="仿宋_GB2312" w:cs="Times New Roman"/>
          <w:b/>
          <w:bCs/>
          <w:sz w:val="32"/>
          <w:szCs w:val="32"/>
        </w:rPr>
        <w:t>（牵头单位：</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w:t>
      </w:r>
      <w:r>
        <w:rPr>
          <w:rFonts w:hint="default" w:eastAsia="仿宋_GB2312" w:cs="Times New Roman"/>
          <w:b/>
          <w:bCs/>
          <w:sz w:val="32"/>
          <w:szCs w:val="32"/>
        </w:rPr>
        <w:t>市科技局</w:t>
      </w:r>
      <w:r>
        <w:rPr>
          <w:rFonts w:hint="default" w:ascii="Times New Roman" w:hAnsi="Times New Roman" w:eastAsia="仿宋_GB2312" w:cs="Times New Roman"/>
          <w:b/>
          <w:bCs/>
          <w:sz w:val="32"/>
          <w:szCs w:val="32"/>
        </w:rPr>
        <w:t>；参与单位：市生态环境局、市水利局、市发展改革委、</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w:t>
      </w:r>
    </w:p>
    <w:tbl>
      <w:tblPr>
        <w:tblStyle w:val="19"/>
        <w:tblW w:w="8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20" w:type="dxa"/>
          <w:left w:w="60" w:type="dxa"/>
          <w:bottom w:w="120" w:type="dxa"/>
          <w:right w:w="60" w:type="dxa"/>
        </w:tblCellMar>
      </w:tblPr>
      <w:tblGrid>
        <w:gridCol w:w="8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20" w:type="dxa"/>
            <w:left w:w="60" w:type="dxa"/>
            <w:bottom w:w="120" w:type="dxa"/>
            <w:right w:w="60" w:type="dxa"/>
          </w:tblCellMar>
        </w:tblPrEx>
        <w:trPr>
          <w:trHeight w:val="90" w:hRule="atLeast"/>
          <w:jc w:val="center"/>
        </w:trPr>
        <w:tc>
          <w:tcPr>
            <w:tcW w:w="8520" w:type="dxa"/>
            <w:tcBorders>
              <w:bottom w:val="single" w:color="auto" w:sz="4" w:space="0"/>
            </w:tcBorders>
            <w:vAlign w:val="center"/>
          </w:tcPr>
          <w:p>
            <w:pPr>
              <w:snapToGrid w:val="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专栏2  工业节水减排重点任务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20" w:type="dxa"/>
            <w:left w:w="60" w:type="dxa"/>
            <w:bottom w:w="120" w:type="dxa"/>
            <w:right w:w="60" w:type="dxa"/>
          </w:tblCellMar>
        </w:tblPrEx>
        <w:trPr>
          <w:trHeight w:val="90" w:hRule="atLeast"/>
          <w:jc w:val="center"/>
        </w:trPr>
        <w:tc>
          <w:tcPr>
            <w:tcW w:w="8520"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工业企业废水资源化利用工程。重点围绕食品、医药等耗水量大、污染高的行业，组织开展企业内部废水资源化利用，创建工业废水资源化利用示范企业。</w:t>
            </w:r>
          </w:p>
          <w:p>
            <w:pPr>
              <w:numPr>
                <w:ilvl w:val="0"/>
                <w:numId w:val="2"/>
              </w:numPr>
              <w:snapToGrid w:val="0"/>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废水近零排放试点工程。选择有代表性的工业园区，开展技术综合集成与示范，研发集成低成本、高性能工业废水处理技术和装备，打造污水资源化技术、工程与服务、管理、政策等协调发展的示范样板。</w:t>
            </w:r>
          </w:p>
          <w:p>
            <w:pPr>
              <w:numPr>
                <w:ilvl w:val="0"/>
                <w:numId w:val="2"/>
              </w:numPr>
              <w:snapToGrid w:val="0"/>
              <w:spacing w:line="360" w:lineRule="auto"/>
              <w:ind w:firstLine="480"/>
              <w:rPr>
                <w:rFonts w:hint="default" w:ascii="Times New Roman" w:hAnsi="Times New Roman" w:cs="Times New Roman"/>
                <w:spacing w:val="-8"/>
                <w:sz w:val="24"/>
              </w:rPr>
            </w:pPr>
            <w:r>
              <w:rPr>
                <w:rFonts w:hint="default" w:ascii="Times New Roman" w:hAnsi="Times New Roman" w:cs="Times New Roman"/>
                <w:sz w:val="24"/>
                <w:szCs w:val="24"/>
              </w:rPr>
              <w:t>到2025年，创建5个省级以上节水型企业及节水标杆企业，创建1个以上节水型工业园区。</w:t>
            </w:r>
          </w:p>
        </w:tc>
      </w:tr>
    </w:tbl>
    <w:p>
      <w:pPr>
        <w:pStyle w:val="5"/>
        <w:pageBreakBefore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楷体_GB2312" w:cs="Times New Roman"/>
          <w:color w:val="auto"/>
          <w:sz w:val="32"/>
          <w:szCs w:val="32"/>
        </w:rPr>
      </w:pPr>
      <w:bookmarkStart w:id="128" w:name="_Toc1403"/>
      <w:bookmarkStart w:id="129" w:name="_Toc100673814"/>
      <w:bookmarkStart w:id="130" w:name="_Toc23286"/>
      <w:bookmarkStart w:id="131" w:name="_Toc26753"/>
      <w:bookmarkStart w:id="132" w:name="_Toc26737"/>
      <w:bookmarkStart w:id="133" w:name="_Toc16910"/>
      <w:bookmarkStart w:id="134" w:name="_Toc80693620"/>
      <w:r>
        <w:rPr>
          <w:rFonts w:hint="default" w:ascii="Times New Roman" w:hAnsi="Times New Roman" w:eastAsia="楷体_GB2312" w:cs="Times New Roman"/>
          <w:color w:val="auto"/>
          <w:sz w:val="32"/>
          <w:szCs w:val="32"/>
        </w:rPr>
        <w:t>（三）城镇节水</w:t>
      </w:r>
      <w:bookmarkEnd w:id="128"/>
      <w:bookmarkEnd w:id="129"/>
      <w:bookmarkEnd w:id="130"/>
      <w:bookmarkEnd w:id="131"/>
      <w:bookmarkEnd w:id="132"/>
      <w:bookmarkEnd w:id="133"/>
    </w:p>
    <w:p>
      <w:pPr>
        <w:pageBreakBefore w:val="0"/>
        <w:widowControl/>
        <w:numPr>
          <w:ilvl w:val="255"/>
          <w:numId w:val="0"/>
        </w:numPr>
        <w:kinsoku/>
        <w:wordWrap/>
        <w:overflowPunct/>
        <w:topLinePunct w:val="0"/>
        <w:autoSpaceDE/>
        <w:autoSpaceDN/>
        <w:bidi w:val="0"/>
        <w:adjustRightInd/>
        <w:snapToGrid w:val="0"/>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22.全面推进节水型城市建设。</w:t>
      </w:r>
      <w:r>
        <w:rPr>
          <w:rFonts w:hint="default" w:ascii="Times New Roman" w:hAnsi="Times New Roman" w:eastAsia="仿宋_GB2312" w:cs="Times New Roman"/>
          <w:sz w:val="32"/>
          <w:szCs w:val="32"/>
        </w:rPr>
        <w:t>以建设节水型城市为抓手，系统提升城市节水工作。落实城市节水各项基础管理制度，推进城镇节水改造。加快推动城镇生活污水资源化利用，加强再生水利用设施建设与改造。结合《巴中市节水行动实施方案》，划定城市建设示范区，明确分年度建设目标和任务，统筹推进节水型城市各类项目建设。提高城市节水工作系统性，将节水落实到城市规划、建设、管理各环节。在新（改、扩）建设项目中，全部执行节水“三同时”管理制度。在工程施工图审查、施工许可、水资源论证等环节，将相关节水工程措施作为重点审查内容。</w:t>
      </w:r>
      <w:r>
        <w:rPr>
          <w:rFonts w:hint="default" w:ascii="Times New Roman" w:hAnsi="Times New Roman" w:eastAsia="仿宋_GB2312" w:cs="Times New Roman"/>
          <w:b/>
          <w:bCs/>
          <w:sz w:val="32"/>
          <w:szCs w:val="32"/>
        </w:rPr>
        <w:t>（牵头单位：</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；参与单位：市发展改革委、市水利局、</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、市自然资源和规划局、市财政局）</w:t>
      </w:r>
    </w:p>
    <w:p>
      <w:pPr>
        <w:pageBreakBefore w:val="0"/>
        <w:numPr>
          <w:ilvl w:val="0"/>
          <w:numId w:val="3"/>
        </w:numPr>
        <w:kinsoku/>
        <w:wordWrap/>
        <w:overflowPunct/>
        <w:topLinePunct w:val="0"/>
        <w:autoSpaceDE/>
        <w:autoSpaceDN/>
        <w:bidi w:val="0"/>
        <w:adjustRightInd/>
        <w:snapToGrid w:val="0"/>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降低城市公共供水管网漏损。</w:t>
      </w:r>
      <w:r>
        <w:rPr>
          <w:rFonts w:hint="default" w:ascii="Times New Roman" w:hAnsi="Times New Roman" w:eastAsia="仿宋_GB2312" w:cs="Times New Roman"/>
          <w:sz w:val="32"/>
          <w:szCs w:val="32"/>
        </w:rPr>
        <w:t>加快制定和实施供水管网改造建设实施方案，完善供水管网检漏制度。加强公共供水系统运行监督管理，推进城镇供水管网分区计量管理。逐步对全市老旧居民住宅供用水设施实施改造。加强公共供水系统运行监督管理，推进城镇供水管网分区计量管理，建立精细化管理平台和漏损管控体系，协同推进二次供水设施改造和专业化管理。加快市域水厂及输配水管网工程建设，推动城乡供水系统升级改造，完善水厂及配套管网建设，提升城乡供水能力。</w:t>
      </w:r>
      <w:r>
        <w:rPr>
          <w:rFonts w:hint="default" w:ascii="Times New Roman" w:hAnsi="Times New Roman" w:eastAsia="仿宋_GB2312" w:cs="Times New Roman"/>
          <w:b/>
          <w:bCs/>
          <w:sz w:val="32"/>
          <w:szCs w:val="32"/>
        </w:rPr>
        <w:t>（牵头单位：</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；参与单位:市发展改革委、市水利局、市财政局、市自然资源和规划局、市交通运输局）</w:t>
      </w:r>
    </w:p>
    <w:p>
      <w:pPr>
        <w:pageBreakBefore w:val="0"/>
        <w:widowControl/>
        <w:numPr>
          <w:ilvl w:val="0"/>
          <w:numId w:val="3"/>
        </w:numPr>
        <w:kinsoku/>
        <w:wordWrap/>
        <w:overflowPunct/>
        <w:topLinePunct w:val="0"/>
        <w:autoSpaceDE/>
        <w:autoSpaceDN/>
        <w:bidi w:val="0"/>
        <w:adjustRightInd/>
        <w:snapToGrid w:val="0"/>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严控服务业和公共领域用水。</w:t>
      </w:r>
      <w:r>
        <w:rPr>
          <w:rFonts w:hint="default" w:ascii="Times New Roman" w:hAnsi="Times New Roman" w:eastAsia="仿宋_GB2312" w:cs="Times New Roman"/>
          <w:sz w:val="32"/>
          <w:szCs w:val="32"/>
        </w:rPr>
        <w:t>从严控制服务业用水，从严控制洗浴、洗车、人工滑雪场、洗涤、宾馆等行业用水计划（定额），加大节水技术改造升级，严控新上高耗水产业。全面推进节水器具普及，实施节水器具改造，推动循环用水技术、设备与工艺。积极推动其他新建住房安装建筑中水设施。</w:t>
      </w:r>
      <w:r>
        <w:rPr>
          <w:rFonts w:hint="default" w:ascii="Times New Roman" w:hAnsi="Times New Roman" w:eastAsia="仿宋_GB2312" w:cs="Times New Roman"/>
          <w:b/>
          <w:bCs/>
          <w:sz w:val="32"/>
          <w:szCs w:val="32"/>
        </w:rPr>
        <w:t>（牵头单位：市水利局；参与单位：市发展改革委、</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w:t>
      </w:r>
      <w:r>
        <w:rPr>
          <w:rFonts w:hint="default" w:eastAsia="仿宋_GB2312" w:cs="Times New Roman"/>
          <w:b/>
          <w:bCs/>
          <w:sz w:val="32"/>
          <w:szCs w:val="32"/>
        </w:rPr>
        <w:t>市市场监管局</w:t>
      </w:r>
      <w:r>
        <w:rPr>
          <w:rFonts w:hint="default" w:ascii="Times New Roman" w:hAnsi="Times New Roman" w:eastAsia="仿宋_GB2312" w:cs="Times New Roman"/>
          <w:b/>
          <w:bCs/>
          <w:sz w:val="32"/>
          <w:szCs w:val="32"/>
        </w:rPr>
        <w:t>、市商务局）</w:t>
      </w:r>
    </w:p>
    <w:p>
      <w:pPr>
        <w:pageBreakBefore w:val="0"/>
        <w:numPr>
          <w:ilvl w:val="0"/>
          <w:numId w:val="3"/>
        </w:numPr>
        <w:kinsoku/>
        <w:wordWrap/>
        <w:overflowPunct/>
        <w:topLinePunct w:val="0"/>
        <w:autoSpaceDE/>
        <w:autoSpaceDN/>
        <w:bidi w:val="0"/>
        <w:adjustRightInd/>
        <w:snapToGrid w:val="0"/>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深入开展公共领域节水工作。</w:t>
      </w:r>
      <w:r>
        <w:rPr>
          <w:rFonts w:hint="default" w:ascii="Times New Roman" w:hAnsi="Times New Roman" w:eastAsia="仿宋_GB2312" w:cs="Times New Roman"/>
          <w:sz w:val="32"/>
          <w:szCs w:val="32"/>
        </w:rPr>
        <w:t>加大节水技术改造升级，全面推进节水器具普及，实施重点场所节水器具改造，严禁新改扩建公共建筑使用不符合节水标准的用水器具。市政杂用和特种行业优先利用再生水、雨水等非常规水源。公共建筑必须采用节水器具，限制淘汰公共建筑中不符合节水标准的水嘴、便器水箱等生活用水器具。</w:t>
      </w:r>
      <w:r>
        <w:rPr>
          <w:rFonts w:hint="default" w:ascii="Times New Roman" w:hAnsi="Times New Roman" w:eastAsia="仿宋_GB2312" w:cs="Times New Roman"/>
          <w:b/>
          <w:bCs/>
          <w:sz w:val="32"/>
          <w:szCs w:val="32"/>
        </w:rPr>
        <w:t>（牵头单位：</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；参与单位：市发展改革委、市水利局、</w:t>
      </w:r>
      <w:r>
        <w:rPr>
          <w:rFonts w:hint="default" w:eastAsia="仿宋_GB2312" w:cs="Times New Roman"/>
          <w:b/>
          <w:bCs/>
          <w:sz w:val="32"/>
          <w:szCs w:val="32"/>
        </w:rPr>
        <w:t>市市场监管局</w:t>
      </w:r>
      <w:r>
        <w:rPr>
          <w:rFonts w:hint="default" w:ascii="Times New Roman" w:hAnsi="Times New Roman" w:eastAsia="仿宋_GB2312" w:cs="Times New Roman"/>
          <w:b/>
          <w:bCs/>
          <w:sz w:val="32"/>
          <w:szCs w:val="32"/>
        </w:rPr>
        <w:t>、市机关事务服务中心）</w:t>
      </w:r>
    </w:p>
    <w:tbl>
      <w:tblPr>
        <w:tblStyle w:val="19"/>
        <w:tblW w:w="85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20" w:type="dxa"/>
          <w:left w:w="60" w:type="dxa"/>
          <w:bottom w:w="120" w:type="dxa"/>
          <w:right w:w="60" w:type="dxa"/>
        </w:tblCellMar>
      </w:tblPr>
      <w:tblGrid>
        <w:gridCol w:w="8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20" w:type="dxa"/>
            <w:left w:w="60" w:type="dxa"/>
            <w:bottom w:w="120" w:type="dxa"/>
            <w:right w:w="60" w:type="dxa"/>
          </w:tblCellMar>
        </w:tblPrEx>
        <w:trPr>
          <w:trHeight w:val="520" w:hRule="atLeast"/>
          <w:jc w:val="center"/>
        </w:trPr>
        <w:tc>
          <w:tcPr>
            <w:tcW w:w="8560" w:type="dxa"/>
            <w:tcBorders>
              <w:bottom w:val="single" w:color="auto" w:sz="4" w:space="0"/>
            </w:tcBorders>
            <w:vAlign w:val="center"/>
          </w:tcPr>
          <w:p>
            <w:pPr>
              <w:snapToGrid w:val="0"/>
              <w:spacing w:line="240" w:lineRule="auto"/>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专栏3  城镇节水降损重点任务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20" w:type="dxa"/>
            <w:left w:w="60" w:type="dxa"/>
            <w:bottom w:w="120" w:type="dxa"/>
            <w:right w:w="60" w:type="dxa"/>
          </w:tblCellMar>
        </w:tblPrEx>
        <w:trPr>
          <w:trHeight w:val="1320" w:hRule="atLeast"/>
          <w:jc w:val="center"/>
        </w:trPr>
        <w:tc>
          <w:tcPr>
            <w:tcW w:w="8560"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spacing w:line="24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推进国家节水型城市建设。</w:t>
            </w:r>
          </w:p>
          <w:p>
            <w:pPr>
              <w:numPr>
                <w:ilvl w:val="0"/>
                <w:numId w:val="4"/>
              </w:numPr>
              <w:snapToGrid w:val="0"/>
              <w:spacing w:line="24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供水管网漏损改造。结合老旧小区改造、二次供水设施改造和一户一表改造等，优先对使用年限超过50年、材质落后和受损失修的供水管网进行更新改造，降低管网漏损率。城镇管网漏损率控制在9.5%以内。</w:t>
            </w:r>
          </w:p>
          <w:p>
            <w:pPr>
              <w:numPr>
                <w:ilvl w:val="0"/>
                <w:numId w:val="4"/>
              </w:numPr>
              <w:snapToGrid w:val="0"/>
              <w:spacing w:line="24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城镇节水器具普及率达到95%，到2035年，城镇节水器具普及率达到 100%。</w:t>
            </w:r>
          </w:p>
          <w:p>
            <w:pPr>
              <w:numPr>
                <w:ilvl w:val="0"/>
                <w:numId w:val="4"/>
              </w:numPr>
              <w:snapToGrid w:val="0"/>
              <w:spacing w:line="24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市、县（区）直机关100%以上建成节水型单位、80%的直属事业单位建成节水型单位。建成一批具有典型示范意义的节水型学校。</w:t>
            </w:r>
          </w:p>
          <w:p>
            <w:pPr>
              <w:numPr>
                <w:ilvl w:val="255"/>
                <w:numId w:val="0"/>
              </w:numPr>
              <w:snapToGrid w:val="0"/>
              <w:spacing w:line="240" w:lineRule="auto"/>
              <w:ind w:firstLine="480" w:firstLineChars="200"/>
              <w:rPr>
                <w:rFonts w:hint="default" w:ascii="Times New Roman" w:hAnsi="Times New Roman" w:cs="Times New Roman"/>
                <w:sz w:val="28"/>
                <w:szCs w:val="28"/>
              </w:rPr>
            </w:pPr>
            <w:r>
              <w:rPr>
                <w:rFonts w:hint="default" w:ascii="Times New Roman" w:hAnsi="Times New Roman" w:cs="Times New Roman"/>
                <w:sz w:val="24"/>
                <w:szCs w:val="24"/>
              </w:rPr>
              <w:t>5. 到 2035年，城镇管网漏损率控制在9.0%以内，再生水利用率达到25%以上。全部市直机关和90%以上的事业单位创建成节水型单位，并建设一批节水社区和一个节水教育基地。</w:t>
            </w:r>
          </w:p>
        </w:tc>
      </w:tr>
      <w:bookmarkEnd w:id="134"/>
    </w:tbl>
    <w:p>
      <w:pPr>
        <w:pStyle w:val="5"/>
        <w:pageBreakBefore w:val="0"/>
        <w:kinsoku/>
        <w:wordWrap/>
        <w:overflowPunct/>
        <w:topLinePunct w:val="0"/>
        <w:autoSpaceDE/>
        <w:autoSpaceDN/>
        <w:bidi w:val="0"/>
        <w:adjustRightInd/>
        <w:spacing w:line="560" w:lineRule="exact"/>
        <w:ind w:firstLine="643" w:firstLineChars="200"/>
        <w:jc w:val="both"/>
        <w:textAlignment w:val="auto"/>
        <w:rPr>
          <w:rFonts w:hint="eastAsia" w:ascii="楷体_GB2312" w:hAnsi="楷体_GB2312" w:eastAsia="楷体_GB2312" w:cs="楷体_GB2312"/>
          <w:color w:val="auto"/>
          <w:sz w:val="32"/>
          <w:szCs w:val="32"/>
        </w:rPr>
      </w:pPr>
      <w:bookmarkStart w:id="135" w:name="_Toc23744"/>
      <w:bookmarkStart w:id="136" w:name="_Toc100673815"/>
      <w:bookmarkStart w:id="137" w:name="_Toc8294"/>
      <w:bookmarkStart w:id="138" w:name="_Toc23089"/>
      <w:bookmarkStart w:id="139" w:name="_Toc21346"/>
      <w:bookmarkStart w:id="140" w:name="_Toc31983"/>
      <w:bookmarkStart w:id="141" w:name="_Toc80693622"/>
      <w:r>
        <w:rPr>
          <w:rFonts w:hint="eastAsia" w:ascii="楷体_GB2312" w:hAnsi="楷体_GB2312" w:eastAsia="楷体_GB2312" w:cs="楷体_GB2312"/>
          <w:color w:val="auto"/>
          <w:sz w:val="32"/>
          <w:szCs w:val="32"/>
        </w:rPr>
        <w:t>（四）非常规水源利用</w:t>
      </w:r>
      <w:bookmarkEnd w:id="135"/>
      <w:bookmarkEnd w:id="136"/>
      <w:bookmarkEnd w:id="137"/>
      <w:bookmarkEnd w:id="138"/>
      <w:bookmarkEnd w:id="139"/>
      <w:bookmarkEnd w:id="140"/>
    </w:p>
    <w:p>
      <w:pPr>
        <w:pageBreakBefore w:val="0"/>
        <w:numPr>
          <w:ilvl w:val="255"/>
          <w:numId w:val="0"/>
        </w:numPr>
        <w:kinsoku/>
        <w:wordWrap/>
        <w:overflowPunct/>
        <w:topLinePunct w:val="0"/>
        <w:autoSpaceDE/>
        <w:autoSpaceDN/>
        <w:bidi w:val="0"/>
        <w:adjustRightInd/>
        <w:snapToGrid w:val="0"/>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26.建立健全非常规水源利用体制机制。</w:t>
      </w:r>
      <w:r>
        <w:rPr>
          <w:rFonts w:hint="default" w:ascii="Times New Roman" w:hAnsi="Times New Roman" w:eastAsia="仿宋_GB2312" w:cs="Times New Roman"/>
          <w:sz w:val="32"/>
          <w:szCs w:val="32"/>
          <w:lang w:val="zh-CN"/>
        </w:rPr>
        <w:t>建立健全污水资源化利用政策体系和市场机制。</w:t>
      </w:r>
      <w:r>
        <w:rPr>
          <w:rFonts w:hint="default" w:ascii="Times New Roman" w:hAnsi="Times New Roman" w:eastAsia="仿宋_GB2312" w:cs="Times New Roman"/>
          <w:sz w:val="32"/>
          <w:szCs w:val="32"/>
        </w:rPr>
        <w:t>将再生水、雨水等非常规水源纳入水资源统一配置，逐年扩大利用规模和比例。控制具备使用非常规水源条件但未有效利用的高耗水行业项目新增取水许可。到2025年，全市城市</w:t>
      </w:r>
      <w:r>
        <w:rPr>
          <w:rFonts w:hint="default" w:ascii="Times New Roman" w:hAnsi="Times New Roman" w:eastAsia="仿宋_GB2312" w:cs="Times New Roman"/>
          <w:sz w:val="32"/>
          <w:szCs w:val="32"/>
          <w:lang w:val="zh-CN"/>
        </w:rPr>
        <w:t>再生水利用率达到</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（牵头单位：市水利局；参与单位：</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、市发展改革委、</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、市农业农村局）</w:t>
      </w:r>
    </w:p>
    <w:p>
      <w:pPr>
        <w:pageBreakBefore w:val="0"/>
        <w:widowControl/>
        <w:numPr>
          <w:ilvl w:val="255"/>
          <w:numId w:val="0"/>
        </w:numPr>
        <w:kinsoku/>
        <w:wordWrap/>
        <w:overflowPunct/>
        <w:topLinePunct w:val="0"/>
        <w:autoSpaceDE/>
        <w:autoSpaceDN/>
        <w:bidi w:val="0"/>
        <w:adjustRightInd/>
        <w:snapToGrid w:val="0"/>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27.推进工业污水资源化利用。</w:t>
      </w:r>
      <w:r>
        <w:rPr>
          <w:rFonts w:hint="default" w:ascii="Times New Roman" w:hAnsi="Times New Roman" w:eastAsia="仿宋_GB2312" w:cs="Times New Roman"/>
          <w:sz w:val="32"/>
          <w:szCs w:val="32"/>
        </w:rPr>
        <w:t>结合现有污水处理设施提标升级扩能改造，系统规划城镇污水再生利用设施；</w:t>
      </w:r>
      <w:r>
        <w:rPr>
          <w:rFonts w:hint="default" w:ascii="Times New Roman" w:hAnsi="Times New Roman" w:eastAsia="仿宋_GB2312" w:cs="Times New Roman"/>
          <w:sz w:val="32"/>
          <w:szCs w:val="32"/>
          <w:lang w:val="zh-CN"/>
        </w:rPr>
        <w:t>工业园区须制定“一园一档、一厂一策”监督管理制度，对污水集中处理设施运行进行严格监管，定时开展园区管网、雨污分流系统排查整治，禁止雨污混排，确保已建成污水处理设施正常运行并达标排放。企业废水预处理和排水严格执行污水处理厂接管标准。园区配套建设中水回用设施，鼓励企业使用再生水，实现串联用水、分质用水、一水多用和梯级利用。</w:t>
      </w:r>
      <w:r>
        <w:rPr>
          <w:rFonts w:hint="default" w:ascii="Times New Roman" w:hAnsi="Times New Roman" w:eastAsia="仿宋_GB2312" w:cs="Times New Roman"/>
          <w:b/>
          <w:bCs/>
          <w:sz w:val="32"/>
          <w:szCs w:val="32"/>
        </w:rPr>
        <w:t>（牵头单位：市经济与信息化局，责任单位：市自然资源和规划局、市生态环境局、市水利局）</w:t>
      </w:r>
    </w:p>
    <w:p>
      <w:pPr>
        <w:pageBreakBefore w:val="0"/>
        <w:widowControl/>
        <w:numPr>
          <w:ilvl w:val="0"/>
          <w:numId w:val="5"/>
        </w:numPr>
        <w:kinsoku/>
        <w:wordWrap/>
        <w:overflowPunct/>
        <w:topLinePunct w:val="0"/>
        <w:autoSpaceDE/>
        <w:autoSpaceDN/>
        <w:bidi w:val="0"/>
        <w:adjustRightInd/>
        <w:snapToGrid w:val="0"/>
        <w:spacing w:line="560" w:lineRule="exact"/>
        <w:ind w:firstLine="643" w:firstLineChars="200"/>
        <w:jc w:val="both"/>
        <w:textAlignment w:val="auto"/>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推进生活污水</w:t>
      </w:r>
      <w:r>
        <w:rPr>
          <w:rFonts w:hint="default" w:ascii="Times New Roman" w:hAnsi="Times New Roman" w:eastAsia="仿宋_GB2312" w:cs="Times New Roman"/>
          <w:b/>
          <w:bCs/>
          <w:sz w:val="32"/>
          <w:szCs w:val="32"/>
          <w:lang w:val="zh-CN"/>
        </w:rPr>
        <w:t>再生水利用。</w:t>
      </w:r>
      <w:r>
        <w:rPr>
          <w:rFonts w:hint="default" w:ascii="Times New Roman" w:hAnsi="Times New Roman" w:eastAsia="仿宋_GB2312" w:cs="Times New Roman"/>
          <w:sz w:val="32"/>
          <w:szCs w:val="32"/>
        </w:rPr>
        <w:t>坚持污染治理与资源利用、工程措施与生态措施、集中与分散相结合，编制城镇生活污水处理设施建设“十四五”规划。结合乡镇行政区划调整改革，优化城镇生活污水设施布局，合理确定处理规模。加快推进市政生活污水收集处理设施向城乡结合部、近郊地区延伸辐射，积极推广低成本、低能耗、易维护、易监管的污水处理工艺。坚持“就近处理、就地循环”原则，因地制宜确定再生水用途、规模和布局，鼓励城市杂用、工业生产、景观用水、河道补水等方面优先使用再生水。</w:t>
      </w:r>
      <w:r>
        <w:rPr>
          <w:rFonts w:hint="default" w:ascii="Times New Roman" w:hAnsi="Times New Roman" w:eastAsia="仿宋_GB2312" w:cs="Times New Roman"/>
          <w:b/>
          <w:bCs/>
          <w:sz w:val="32"/>
          <w:szCs w:val="32"/>
        </w:rPr>
        <w:t>（牵头单位：</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，责任单位：市自然资源和规划局、市生态环境局、市水利局）</w:t>
      </w:r>
    </w:p>
    <w:p>
      <w:pPr>
        <w:pageBreakBefore w:val="0"/>
        <w:numPr>
          <w:ilvl w:val="0"/>
          <w:numId w:val="5"/>
        </w:numPr>
        <w:kinsoku/>
        <w:wordWrap/>
        <w:overflowPunct/>
        <w:topLinePunct w:val="0"/>
        <w:autoSpaceDE/>
        <w:autoSpaceDN/>
        <w:bidi w:val="0"/>
        <w:adjustRightInd/>
        <w:snapToGrid w:val="0"/>
        <w:spacing w:line="560" w:lineRule="exact"/>
        <w:ind w:left="0" w:leftChars="0"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加强雨水集蓄利用。</w:t>
      </w:r>
      <w:r>
        <w:rPr>
          <w:rFonts w:hint="default" w:ascii="Times New Roman" w:hAnsi="Times New Roman" w:eastAsia="仿宋_GB2312" w:cs="Times New Roman"/>
          <w:sz w:val="32"/>
          <w:szCs w:val="32"/>
        </w:rPr>
        <w:t>将海绵城市建设理念融入城市规划建设管理各环节，提升雨水资源涵养能力和综合利用水平。在城市公园、绿地、建筑、道路广场等新改扩建过程中推广透水铺装，合理建设屋顶绿化、植草沟、下沉式绿地、地下调蓄池等设施，减少雨水地表径流外排。农村地区结合地形地貌建设水池、水窖和坑塘等设施集蓄雨水，用于农业灌溉、牲畜用水等。</w:t>
      </w:r>
      <w:r>
        <w:rPr>
          <w:rFonts w:hint="default" w:ascii="Times New Roman" w:hAnsi="Times New Roman" w:eastAsia="仿宋_GB2312" w:cs="Times New Roman"/>
          <w:b/>
          <w:bCs/>
          <w:sz w:val="32"/>
          <w:szCs w:val="32"/>
        </w:rPr>
        <w:t>（</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、市水利局、市农业农村局按职责分工负责）</w:t>
      </w:r>
    </w:p>
    <w:tbl>
      <w:tblPr>
        <w:tblStyle w:val="19"/>
        <w:tblW w:w="8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20" w:type="dxa"/>
          <w:left w:w="60" w:type="dxa"/>
          <w:bottom w:w="120" w:type="dxa"/>
          <w:right w:w="60" w:type="dxa"/>
        </w:tblCellMar>
      </w:tblPr>
      <w:tblGrid>
        <w:gridCol w:w="8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20" w:type="dxa"/>
            <w:left w:w="60" w:type="dxa"/>
            <w:bottom w:w="120" w:type="dxa"/>
            <w:right w:w="60" w:type="dxa"/>
          </w:tblCellMar>
        </w:tblPrEx>
        <w:trPr>
          <w:trHeight w:val="547" w:hRule="atLeast"/>
          <w:jc w:val="center"/>
        </w:trPr>
        <w:tc>
          <w:tcPr>
            <w:tcW w:w="8520" w:type="dxa"/>
            <w:tcBorders>
              <w:bottom w:val="single" w:color="auto" w:sz="4" w:space="0"/>
            </w:tcBorders>
            <w:vAlign w:val="center"/>
          </w:tcPr>
          <w:p>
            <w:pPr>
              <w:snapToGrid w:val="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专栏4  非常规水源利用重点任务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20" w:type="dxa"/>
            <w:left w:w="60" w:type="dxa"/>
            <w:bottom w:w="120" w:type="dxa"/>
            <w:right w:w="60" w:type="dxa"/>
          </w:tblCellMar>
        </w:tblPrEx>
        <w:trPr>
          <w:trHeight w:val="1410" w:hRule="atLeast"/>
          <w:jc w:val="center"/>
        </w:trPr>
        <w:tc>
          <w:tcPr>
            <w:tcW w:w="8520"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1.城市再生水利用率需达到10%，到2035年，巴中市再生水利用率达到25%以上。</w:t>
            </w:r>
          </w:p>
          <w:p>
            <w:pPr>
              <w:numPr>
                <w:ilvl w:val="255"/>
                <w:numId w:val="0"/>
              </w:numPr>
              <w:spacing w:line="360" w:lineRule="auto"/>
              <w:ind w:firstLine="480" w:firstLineChars="200"/>
              <w:rPr>
                <w:rFonts w:hint="default" w:ascii="Times New Roman" w:hAnsi="Times New Roman" w:cs="Times New Roman"/>
              </w:rPr>
            </w:pPr>
            <w:r>
              <w:rPr>
                <w:rFonts w:hint="default" w:ascii="Times New Roman" w:hAnsi="Times New Roman" w:cs="Times New Roman"/>
                <w:sz w:val="24"/>
                <w:szCs w:val="24"/>
              </w:rPr>
              <w:t>2.工业用水重复利用、畜禽粪污和渔业养殖尾水资源化利用水平显著提升；污水资源化利用政策体系和市场机制基本建立。</w:t>
            </w:r>
          </w:p>
        </w:tc>
      </w:tr>
    </w:tbl>
    <w:p>
      <w:pPr>
        <w:pStyle w:val="5"/>
        <w:pageBreakBefore w:val="0"/>
        <w:widowControl w:val="0"/>
        <w:kinsoku/>
        <w:wordWrap/>
        <w:overflowPunct/>
        <w:topLinePunct w:val="0"/>
        <w:autoSpaceDE/>
        <w:autoSpaceDN/>
        <w:bidi w:val="0"/>
        <w:adjustRightInd/>
        <w:spacing w:line="540" w:lineRule="exact"/>
        <w:ind w:firstLine="643" w:firstLineChars="200"/>
        <w:jc w:val="both"/>
        <w:textAlignment w:val="auto"/>
        <w:rPr>
          <w:rFonts w:hint="eastAsia" w:ascii="楷体_GB2312" w:hAnsi="楷体_GB2312" w:eastAsia="楷体_GB2312" w:cs="楷体_GB2312"/>
          <w:color w:val="auto"/>
          <w:sz w:val="32"/>
          <w:szCs w:val="32"/>
        </w:rPr>
      </w:pPr>
      <w:bookmarkStart w:id="142" w:name="_Toc80693621"/>
      <w:bookmarkStart w:id="143" w:name="_Toc31323"/>
      <w:bookmarkStart w:id="144" w:name="_Toc100673816"/>
      <w:bookmarkStart w:id="145" w:name="_Toc20050"/>
      <w:bookmarkStart w:id="146" w:name="_Toc19649"/>
      <w:bookmarkStart w:id="147" w:name="_Toc7723"/>
      <w:bookmarkStart w:id="148" w:name="_Toc20706"/>
      <w:r>
        <w:rPr>
          <w:rFonts w:hint="eastAsia" w:ascii="楷体_GB2312" w:hAnsi="楷体_GB2312" w:eastAsia="楷体_GB2312" w:cs="楷体_GB2312"/>
          <w:color w:val="auto"/>
          <w:sz w:val="32"/>
          <w:szCs w:val="32"/>
        </w:rPr>
        <w:t>（五）节水型社会达标建设</w:t>
      </w:r>
      <w:bookmarkEnd w:id="142"/>
      <w:bookmarkEnd w:id="143"/>
      <w:bookmarkEnd w:id="144"/>
      <w:bookmarkEnd w:id="145"/>
      <w:bookmarkEnd w:id="146"/>
      <w:bookmarkEnd w:id="147"/>
      <w:bookmarkEnd w:id="148"/>
    </w:p>
    <w:p>
      <w:pPr>
        <w:pageBreakBefore w:val="0"/>
        <w:widowControl w:val="0"/>
        <w:kinsoku/>
        <w:wordWrap/>
        <w:overflowPunct/>
        <w:topLinePunct w:val="0"/>
        <w:autoSpaceDE/>
        <w:autoSpaceDN/>
        <w:bidi w:val="0"/>
        <w:adjustRightInd/>
        <w:snapToGrid w:val="0"/>
        <w:spacing w:line="54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30. 推进县域节水型社会达标建设。</w:t>
      </w:r>
      <w:r>
        <w:rPr>
          <w:rFonts w:hint="default" w:ascii="Times New Roman" w:hAnsi="Times New Roman" w:eastAsia="仿宋_GB2312" w:cs="Times New Roman"/>
          <w:sz w:val="32"/>
          <w:szCs w:val="32"/>
        </w:rPr>
        <w:t>促进节水措施有效落地落实，全面落实国家和省级节水管理要求，完成省级下达的用水总量和用水效率控制目标任务。已开展县域节水型社会达标建设的县（区、市），实现农业灌溉用水计量率不低于60％，工业用水计量率100％，节水型企业建成率不低于40％，公共机构节水型单位建成率不低于50％，再生水利用率不低于15％，城市公共供水管网漏损率不大于9％。到2025年，完成所有县域节水型社会达标建设。</w:t>
      </w:r>
      <w:r>
        <w:rPr>
          <w:rFonts w:hint="default" w:ascii="Times New Roman" w:hAnsi="Times New Roman" w:eastAsia="仿宋_GB2312" w:cs="Times New Roman"/>
          <w:b/>
          <w:bCs/>
          <w:sz w:val="32"/>
          <w:szCs w:val="32"/>
        </w:rPr>
        <w:t>(牵头单位：市水利局；参与单位：市财政局、市发展改革委、</w:t>
      </w:r>
      <w:r>
        <w:rPr>
          <w:rFonts w:hint="default" w:eastAsia="仿宋_GB2312" w:cs="Times New Roman"/>
          <w:b/>
          <w:bCs/>
          <w:sz w:val="32"/>
          <w:szCs w:val="32"/>
        </w:rPr>
        <w:t>市教育体育局</w:t>
      </w:r>
      <w:r>
        <w:rPr>
          <w:rFonts w:hint="default" w:ascii="Times New Roman" w:hAnsi="Times New Roman" w:eastAsia="仿宋_GB2312" w:cs="Times New Roman"/>
          <w:b/>
          <w:bCs/>
          <w:sz w:val="32"/>
          <w:szCs w:val="32"/>
        </w:rPr>
        <w:t>、</w:t>
      </w:r>
      <w:r>
        <w:rPr>
          <w:rFonts w:hint="default" w:eastAsia="仿宋_GB2312" w:cs="Times New Roman"/>
          <w:b/>
          <w:bCs/>
          <w:sz w:val="32"/>
          <w:szCs w:val="32"/>
        </w:rPr>
        <w:t>市科技局</w:t>
      </w:r>
      <w:r>
        <w:rPr>
          <w:rFonts w:hint="default" w:ascii="Times New Roman" w:hAnsi="Times New Roman" w:eastAsia="仿宋_GB2312" w:cs="Times New Roman"/>
          <w:b/>
          <w:bCs/>
          <w:sz w:val="32"/>
          <w:szCs w:val="32"/>
        </w:rPr>
        <w:t>、</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、市生态环境局、</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、市农业农村局、市商务局、市卫生健康委、</w:t>
      </w:r>
      <w:r>
        <w:rPr>
          <w:rFonts w:hint="default" w:eastAsia="仿宋_GB2312" w:cs="Times New Roman"/>
          <w:b/>
          <w:bCs/>
          <w:sz w:val="32"/>
          <w:szCs w:val="32"/>
        </w:rPr>
        <w:t>市市场监管局</w:t>
      </w:r>
      <w:r>
        <w:rPr>
          <w:rFonts w:hint="default" w:ascii="Times New Roman" w:hAnsi="Times New Roman" w:eastAsia="仿宋_GB2312" w:cs="Times New Roman"/>
          <w:b/>
          <w:bCs/>
          <w:sz w:val="32"/>
          <w:szCs w:val="32"/>
        </w:rPr>
        <w:t>、市机关事务服务中心)</w:t>
      </w:r>
      <w:bookmarkStart w:id="149" w:name="_Toc9841"/>
      <w:bookmarkStart w:id="150" w:name="_Toc5954"/>
      <w:bookmarkStart w:id="151" w:name="_Toc10680"/>
      <w:bookmarkStart w:id="152" w:name="_Toc100673817"/>
      <w:bookmarkStart w:id="153" w:name="_Toc21002"/>
      <w:bookmarkStart w:id="154" w:name="_Toc16922"/>
    </w:p>
    <w:p>
      <w:pPr>
        <w:pStyle w:val="5"/>
        <w:pageBreakBefore w:val="0"/>
        <w:widowControl w:val="0"/>
        <w:kinsoku/>
        <w:wordWrap/>
        <w:overflowPunct/>
        <w:topLinePunct w:val="0"/>
        <w:autoSpaceDE/>
        <w:autoSpaceDN/>
        <w:bidi w:val="0"/>
        <w:adjustRightInd/>
        <w:spacing w:line="540" w:lineRule="exact"/>
        <w:ind w:firstLine="643" w:firstLineChars="200"/>
        <w:jc w:val="both"/>
        <w:textAlignment w:val="auto"/>
        <w:rPr>
          <w:rFonts w:hint="default" w:ascii="楷体_GB2312" w:hAnsi="楷体_GB2312" w:eastAsia="楷体_GB2312" w:cs="楷体_GB2312"/>
          <w:color w:val="auto"/>
          <w:sz w:val="32"/>
          <w:szCs w:val="32"/>
        </w:rPr>
      </w:pPr>
      <w:r>
        <w:rPr>
          <w:rFonts w:hint="default" w:ascii="楷体_GB2312" w:hAnsi="楷体_GB2312" w:eastAsia="楷体_GB2312" w:cs="楷体_GB2312"/>
          <w:color w:val="auto"/>
          <w:sz w:val="32"/>
          <w:szCs w:val="32"/>
        </w:rPr>
        <w:t>（六）信息化建设</w:t>
      </w:r>
      <w:bookmarkEnd w:id="141"/>
      <w:bookmarkEnd w:id="149"/>
      <w:bookmarkEnd w:id="150"/>
      <w:bookmarkEnd w:id="151"/>
      <w:bookmarkEnd w:id="152"/>
      <w:bookmarkEnd w:id="153"/>
      <w:bookmarkEnd w:id="154"/>
    </w:p>
    <w:p>
      <w:pPr>
        <w:pageBreakBefore w:val="0"/>
        <w:widowControl w:val="0"/>
        <w:kinsoku/>
        <w:wordWrap/>
        <w:overflowPunct/>
        <w:topLinePunct w:val="0"/>
        <w:autoSpaceDE/>
        <w:autoSpaceDN/>
        <w:bidi w:val="0"/>
        <w:adjustRightInd/>
        <w:snapToGrid w:val="0"/>
        <w:spacing w:line="54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31.提升节水管理信息化水平。</w:t>
      </w:r>
      <w:r>
        <w:rPr>
          <w:rFonts w:hint="default" w:ascii="Times New Roman" w:hAnsi="Times New Roman" w:eastAsia="仿宋_GB2312" w:cs="Times New Roman"/>
          <w:sz w:val="32"/>
          <w:szCs w:val="32"/>
        </w:rPr>
        <w:t>基于四川省水资源管理系统，通过全行业数据共享，强化节水行动方案全过程管理。控制用水总量，提升用水效率，加强重点监控用水户和县域节水型社会达标建设的监督和管理，有效实现节水信息分类分级、统计查询，定期统计和发布节水产品、节水载体、节水年报等信息。</w:t>
      </w:r>
      <w:bookmarkStart w:id="155" w:name="_Toc80693623"/>
      <w:r>
        <w:rPr>
          <w:rFonts w:hint="default" w:ascii="Times New Roman" w:hAnsi="Times New Roman" w:eastAsia="仿宋_GB2312" w:cs="Times New Roman"/>
          <w:sz w:val="32"/>
          <w:szCs w:val="32"/>
        </w:rPr>
        <w:t>发挥人工智能、大数据等先进技术作用，进一步提升预警预报和突发事件应对能力。</w:t>
      </w:r>
      <w:r>
        <w:rPr>
          <w:rFonts w:hint="default" w:ascii="Times New Roman" w:hAnsi="Times New Roman" w:eastAsia="仿宋_GB2312" w:cs="Times New Roman"/>
          <w:b/>
          <w:bCs/>
          <w:sz w:val="32"/>
          <w:szCs w:val="32"/>
        </w:rPr>
        <w:t>(牵头单位：市水利局；参与单位：市财政局、市发展改革委、</w:t>
      </w:r>
      <w:r>
        <w:rPr>
          <w:rFonts w:hint="default" w:eastAsia="仿宋_GB2312" w:cs="Times New Roman"/>
          <w:b/>
          <w:bCs/>
          <w:sz w:val="32"/>
          <w:szCs w:val="32"/>
        </w:rPr>
        <w:t>市教育体育局</w:t>
      </w:r>
      <w:r>
        <w:rPr>
          <w:rFonts w:hint="default" w:ascii="Times New Roman" w:hAnsi="Times New Roman" w:eastAsia="仿宋_GB2312" w:cs="Times New Roman"/>
          <w:b/>
          <w:bCs/>
          <w:sz w:val="32"/>
          <w:szCs w:val="32"/>
        </w:rPr>
        <w:t>、</w:t>
      </w:r>
      <w:r>
        <w:rPr>
          <w:rFonts w:hint="default" w:eastAsia="仿宋_GB2312" w:cs="Times New Roman"/>
          <w:b/>
          <w:bCs/>
          <w:sz w:val="32"/>
          <w:szCs w:val="32"/>
        </w:rPr>
        <w:t>市科技局</w:t>
      </w:r>
      <w:r>
        <w:rPr>
          <w:rFonts w:hint="default" w:ascii="Times New Roman" w:hAnsi="Times New Roman" w:eastAsia="仿宋_GB2312" w:cs="Times New Roman"/>
          <w:b/>
          <w:bCs/>
          <w:sz w:val="32"/>
          <w:szCs w:val="32"/>
        </w:rPr>
        <w:t>、</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、市生态环境局、</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、市农业农村局、市商务局、市卫生健康委、</w:t>
      </w:r>
      <w:r>
        <w:rPr>
          <w:rFonts w:hint="default" w:eastAsia="仿宋_GB2312" w:cs="Times New Roman"/>
          <w:b/>
          <w:bCs/>
          <w:sz w:val="32"/>
          <w:szCs w:val="32"/>
        </w:rPr>
        <w:t>市市场监管局</w:t>
      </w:r>
      <w:r>
        <w:rPr>
          <w:rFonts w:hint="default" w:ascii="Times New Roman" w:hAnsi="Times New Roman" w:eastAsia="仿宋_GB2312" w:cs="Times New Roman"/>
          <w:b/>
          <w:bCs/>
          <w:sz w:val="32"/>
          <w:szCs w:val="32"/>
        </w:rPr>
        <w:t>、市机关事务服务中心)</w:t>
      </w:r>
      <w:bookmarkStart w:id="156" w:name="_Toc29456"/>
      <w:bookmarkStart w:id="157" w:name="_Toc100673818"/>
      <w:bookmarkStart w:id="158" w:name="_Toc14809"/>
      <w:bookmarkStart w:id="159" w:name="_Toc17769"/>
      <w:bookmarkStart w:id="160" w:name="_Toc13407"/>
      <w:bookmarkStart w:id="161" w:name="_Toc6437"/>
    </w:p>
    <w:p>
      <w:pPr>
        <w:pStyle w:val="4"/>
        <w:pageBreakBefore w:val="0"/>
        <w:widowControl w:val="0"/>
        <w:kinsoku/>
        <w:wordWrap/>
        <w:overflowPunct/>
        <w:topLinePunct w:val="0"/>
        <w:autoSpaceDE/>
        <w:autoSpaceDN/>
        <w:bidi w:val="0"/>
        <w:adjustRightInd/>
        <w:snapToGrid w:val="0"/>
        <w:spacing w:before="0" w:after="0" w:line="540" w:lineRule="exact"/>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五、重点</w:t>
      </w:r>
      <w:bookmarkEnd w:id="155"/>
      <w:r>
        <w:rPr>
          <w:rFonts w:hint="eastAsia" w:ascii="黑体" w:hAnsi="黑体" w:eastAsia="黑体" w:cs="黑体"/>
          <w:b w:val="0"/>
          <w:bCs w:val="0"/>
          <w:color w:val="auto"/>
          <w:sz w:val="32"/>
          <w:szCs w:val="32"/>
        </w:rPr>
        <w:t>节水工程规划</w:t>
      </w:r>
      <w:bookmarkEnd w:id="156"/>
      <w:bookmarkEnd w:id="157"/>
      <w:bookmarkEnd w:id="158"/>
      <w:bookmarkEnd w:id="159"/>
      <w:bookmarkEnd w:id="160"/>
      <w:bookmarkEnd w:id="161"/>
    </w:p>
    <w:p>
      <w:pPr>
        <w:pageBreakBefore w:val="0"/>
        <w:widowControl w:val="0"/>
        <w:kinsoku/>
        <w:wordWrap/>
        <w:overflowPunct/>
        <w:topLinePunct w:val="0"/>
        <w:autoSpaceDE/>
        <w:autoSpaceDN/>
        <w:bidi w:val="0"/>
        <w:adjustRightInd/>
        <w:spacing w:line="540" w:lineRule="exact"/>
        <w:ind w:firstLine="640" w:firstLineChars="200"/>
        <w:jc w:val="both"/>
        <w:textAlignment w:val="auto"/>
        <w:rPr>
          <w:rFonts w:hint="default" w:ascii="Times New Roman" w:hAnsi="Times New Roman" w:eastAsia="仿宋_GB2312" w:cs="Times New Roman"/>
          <w:sz w:val="32"/>
          <w:szCs w:val="32"/>
        </w:rPr>
      </w:pPr>
      <w:bookmarkStart w:id="162" w:name="_Toc80693629"/>
      <w:r>
        <w:rPr>
          <w:rFonts w:hint="default" w:ascii="Times New Roman" w:hAnsi="Times New Roman" w:eastAsia="仿宋_GB2312" w:cs="Times New Roman"/>
          <w:sz w:val="32"/>
          <w:szCs w:val="32"/>
        </w:rPr>
        <w:t>按照以水而定、量水而行要求，严格水资源刚性约束，坚持“两主三基、四向发力”的总体思路，全面推动巴中市的节水多元共治。</w:t>
      </w:r>
    </w:p>
    <w:p>
      <w:pPr>
        <w:pStyle w:val="5"/>
        <w:pageBreakBefore w:val="0"/>
        <w:widowControl w:val="0"/>
        <w:kinsoku/>
        <w:wordWrap/>
        <w:overflowPunct/>
        <w:topLinePunct w:val="0"/>
        <w:autoSpaceDE/>
        <w:autoSpaceDN/>
        <w:bidi w:val="0"/>
        <w:adjustRightInd/>
        <w:spacing w:line="540" w:lineRule="exact"/>
        <w:ind w:firstLine="643" w:firstLineChars="200"/>
        <w:jc w:val="both"/>
        <w:textAlignment w:val="auto"/>
        <w:rPr>
          <w:rFonts w:hint="default" w:ascii="楷体_GB2312" w:hAnsi="楷体_GB2312" w:eastAsia="楷体_GB2312" w:cs="楷体_GB2312"/>
          <w:color w:val="auto"/>
          <w:sz w:val="32"/>
          <w:szCs w:val="32"/>
        </w:rPr>
      </w:pPr>
      <w:bookmarkStart w:id="163" w:name="_Toc17048"/>
      <w:bookmarkStart w:id="164" w:name="_Toc12152"/>
      <w:bookmarkStart w:id="165" w:name="_Toc14902"/>
      <w:bookmarkStart w:id="166" w:name="_Toc13650"/>
      <w:bookmarkStart w:id="167" w:name="_Toc24141"/>
      <w:bookmarkStart w:id="168" w:name="_Toc100673819"/>
      <w:r>
        <w:rPr>
          <w:rFonts w:hint="eastAsia" w:ascii="楷体_GB2312" w:hAnsi="楷体_GB2312" w:eastAsia="楷体_GB2312" w:cs="楷体_GB2312"/>
          <w:color w:val="auto"/>
          <w:sz w:val="32"/>
          <w:szCs w:val="32"/>
          <w:lang w:eastAsia="zh-CN"/>
        </w:rPr>
        <w:t>（一）</w:t>
      </w:r>
      <w:r>
        <w:rPr>
          <w:rFonts w:hint="default" w:ascii="楷体_GB2312" w:hAnsi="楷体_GB2312" w:eastAsia="楷体_GB2312" w:cs="楷体_GB2312"/>
          <w:color w:val="auto"/>
          <w:sz w:val="32"/>
          <w:szCs w:val="32"/>
        </w:rPr>
        <w:t>农业</w:t>
      </w:r>
      <w:bookmarkEnd w:id="163"/>
      <w:bookmarkEnd w:id="164"/>
      <w:r>
        <w:rPr>
          <w:rFonts w:hint="default" w:ascii="楷体_GB2312" w:hAnsi="楷体_GB2312" w:eastAsia="楷体_GB2312" w:cs="楷体_GB2312"/>
          <w:color w:val="auto"/>
          <w:sz w:val="32"/>
          <w:szCs w:val="32"/>
        </w:rPr>
        <w:t>节水工程</w:t>
      </w:r>
      <w:bookmarkEnd w:id="165"/>
      <w:bookmarkEnd w:id="166"/>
      <w:bookmarkEnd w:id="167"/>
      <w:bookmarkEnd w:id="168"/>
    </w:p>
    <w:p>
      <w:pPr>
        <w:pageBreakBefore w:val="0"/>
        <w:widowControl w:val="0"/>
        <w:kinsoku/>
        <w:wordWrap/>
        <w:overflowPunct/>
        <w:topLinePunct w:val="0"/>
        <w:autoSpaceDE/>
        <w:autoSpaceDN/>
        <w:bidi w:val="0"/>
        <w:adjustRightInd/>
        <w:spacing w:line="54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（1）规划目标</w:t>
      </w:r>
    </w:p>
    <w:p>
      <w:pPr>
        <w:pageBreakBefore w:val="0"/>
        <w:widowControl w:val="0"/>
        <w:kinsoku/>
        <w:wordWrap/>
        <w:overflowPunct/>
        <w:topLinePunct w:val="0"/>
        <w:autoSpaceDE/>
        <w:autoSpaceDN/>
        <w:bidi w:val="0"/>
        <w:adjustRightIn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根据对巴中市水资源条件、农业发展状况、农田水利设施配套水平等因素的综合分析，并参考国内外先进地区农业用水水平的指标与参数、有关部门制定的相关农业节水标准，确定巴中市农业节水目标：</w:t>
      </w:r>
    </w:p>
    <w:p>
      <w:pPr>
        <w:pageBreakBefore w:val="0"/>
        <w:widowControl w:val="0"/>
        <w:kinsoku/>
        <w:wordWrap/>
        <w:overflowPunct/>
        <w:topLinePunct w:val="0"/>
        <w:autoSpaceDE/>
        <w:autoSpaceDN/>
        <w:bidi w:val="0"/>
        <w:adjustRightIn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近期，新发展高效节水灌溉工程面积10万亩，高效节水灌溉面积达到20.20万亩；新增除高效节水灌溉工程以外的渠道防渗工程等节水灌溉面积16.58万亩，节水灌溉面积达到 85.08万亩；节水灌溉工程占比由基准年的40.6%提高到49.86%，高效节水灌溉工程占比由基准年的7.0%提高到11.84%，灌溉水有效利用系数由基准年的 0.476 提高到0.50；多年平均条件下综合毛灌溉定额控制在220m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/亩以内；全市大中型灌区渠首取水口在线计量全覆盖。2025年底前全市基本完成农业水价综合改革任务。</w:t>
      </w:r>
    </w:p>
    <w:p>
      <w:pPr>
        <w:pageBreakBefore w:val="0"/>
        <w:widowControl w:val="0"/>
        <w:kinsoku/>
        <w:wordWrap/>
        <w:overflowPunct/>
        <w:topLinePunct w:val="0"/>
        <w:autoSpaceDE/>
        <w:autoSpaceDN/>
        <w:bidi w:val="0"/>
        <w:adjustRightIn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远期，新发展高效节水灌溉工程面积20万亩，高效节水灌溉面积达到40.20万亩；新增除高效节水灌溉工程以外的渠道防渗工程等节水灌溉面积 44.93万亩，节水灌溉面积达到 150.01万亩。节水灌溉工程占比由2025年的49.86%提高到63.68%，高效节水灌溉工程占比由基准年的11.84%提高到17.06%，灌溉水有效利用系数由基准年的0.50提高到0.60。多年平均条件下综合毛灌溉定额控制在210m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/亩以内；大中型灌区渠首取水口计量全覆盖，2000亩以上小型灌区渠首规范计量。</w:t>
      </w:r>
    </w:p>
    <w:p>
      <w:pPr>
        <w:ind w:firstLine="0" w:firstLineChars="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表 5.1 巴中市农业节水规划指标</w:t>
      </w:r>
    </w:p>
    <w:tbl>
      <w:tblPr>
        <w:tblStyle w:val="18"/>
        <w:tblW w:w="8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1"/>
        <w:gridCol w:w="3799"/>
        <w:gridCol w:w="989"/>
        <w:gridCol w:w="1332"/>
        <w:gridCol w:w="848"/>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561" w:type="dxa"/>
            <w:tcBorders>
              <w:tl2br w:val="nil"/>
              <w:tr2bl w:val="nil"/>
            </w:tcBorders>
          </w:tcPr>
          <w:p>
            <w:pPr>
              <w:pStyle w:val="35"/>
              <w:spacing w:before="38" w:line="240" w:lineRule="auto"/>
              <w:ind w:firstLine="0" w:firstLineChars="0"/>
              <w:jc w:val="center"/>
              <w:rPr>
                <w:rFonts w:hint="default" w:ascii="Times New Roman" w:hAnsi="Times New Roman" w:eastAsia="黑体" w:cs="Times New Roman"/>
                <w:sz w:val="24"/>
                <w:szCs w:val="24"/>
                <w:lang w:val="en-US"/>
              </w:rPr>
            </w:pPr>
            <w:r>
              <w:rPr>
                <w:rFonts w:hint="default" w:ascii="Times New Roman" w:hAnsi="Times New Roman" w:eastAsia="黑体" w:cs="Times New Roman"/>
                <w:sz w:val="24"/>
                <w:szCs w:val="24"/>
                <w:lang w:val="en-US"/>
              </w:rPr>
              <w:t>序号</w:t>
            </w:r>
          </w:p>
        </w:tc>
        <w:tc>
          <w:tcPr>
            <w:tcW w:w="3799" w:type="dxa"/>
            <w:tcBorders>
              <w:tl2br w:val="nil"/>
              <w:tr2bl w:val="nil"/>
            </w:tcBorders>
          </w:tcPr>
          <w:p>
            <w:pPr>
              <w:pStyle w:val="35"/>
              <w:spacing w:before="38" w:line="240" w:lineRule="auto"/>
              <w:ind w:firstLine="0" w:firstLineChars="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lang w:val="en-US"/>
              </w:rPr>
              <w:t>规划指标</w:t>
            </w:r>
          </w:p>
        </w:tc>
        <w:tc>
          <w:tcPr>
            <w:tcW w:w="989" w:type="dxa"/>
            <w:tcBorders>
              <w:tl2br w:val="nil"/>
              <w:tr2bl w:val="nil"/>
            </w:tcBorders>
          </w:tcPr>
          <w:p>
            <w:pPr>
              <w:pStyle w:val="35"/>
              <w:spacing w:before="38" w:line="240" w:lineRule="auto"/>
              <w:ind w:firstLine="0" w:firstLineChars="0"/>
              <w:jc w:val="center"/>
              <w:rPr>
                <w:rFonts w:hint="default" w:ascii="Times New Roman" w:hAnsi="Times New Roman" w:eastAsia="黑体" w:cs="Times New Roman"/>
                <w:sz w:val="24"/>
                <w:szCs w:val="24"/>
                <w:lang w:val="en-US"/>
              </w:rPr>
            </w:pPr>
            <w:r>
              <w:rPr>
                <w:rFonts w:hint="default" w:ascii="Times New Roman" w:hAnsi="Times New Roman" w:eastAsia="黑体" w:cs="Times New Roman"/>
                <w:sz w:val="24"/>
                <w:szCs w:val="24"/>
              </w:rPr>
              <w:t>20</w:t>
            </w:r>
            <w:r>
              <w:rPr>
                <w:rFonts w:hint="default" w:ascii="Times New Roman" w:hAnsi="Times New Roman" w:eastAsia="黑体" w:cs="Times New Roman"/>
                <w:sz w:val="24"/>
                <w:szCs w:val="24"/>
                <w:lang w:val="en-US"/>
              </w:rPr>
              <w:t>20</w:t>
            </w:r>
          </w:p>
        </w:tc>
        <w:tc>
          <w:tcPr>
            <w:tcW w:w="1332" w:type="dxa"/>
            <w:tcBorders>
              <w:tl2br w:val="nil"/>
              <w:tr2bl w:val="nil"/>
            </w:tcBorders>
          </w:tcPr>
          <w:p>
            <w:pPr>
              <w:pStyle w:val="35"/>
              <w:spacing w:before="38" w:line="240" w:lineRule="auto"/>
              <w:ind w:firstLine="0" w:firstLineChars="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2025</w:t>
            </w:r>
          </w:p>
        </w:tc>
        <w:tc>
          <w:tcPr>
            <w:tcW w:w="848" w:type="dxa"/>
            <w:tcBorders>
              <w:tl2br w:val="nil"/>
              <w:tr2bl w:val="nil"/>
            </w:tcBorders>
          </w:tcPr>
          <w:p>
            <w:pPr>
              <w:pStyle w:val="35"/>
              <w:spacing w:before="38" w:line="240" w:lineRule="auto"/>
              <w:ind w:firstLine="0" w:firstLineChars="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2035</w:t>
            </w:r>
          </w:p>
        </w:tc>
        <w:tc>
          <w:tcPr>
            <w:tcW w:w="1207" w:type="dxa"/>
            <w:tcBorders>
              <w:tl2br w:val="nil"/>
              <w:tr2bl w:val="nil"/>
            </w:tcBorders>
          </w:tcPr>
          <w:p>
            <w:pPr>
              <w:pStyle w:val="35"/>
              <w:spacing w:before="38" w:line="240" w:lineRule="auto"/>
              <w:ind w:firstLine="0" w:firstLineChars="0"/>
              <w:jc w:val="center"/>
              <w:rPr>
                <w:rFonts w:hint="default" w:ascii="Times New Roman" w:hAnsi="Times New Roman" w:eastAsia="黑体" w:cs="Times New Roman"/>
                <w:sz w:val="24"/>
                <w:szCs w:val="24"/>
                <w:lang w:val="en-US"/>
              </w:rPr>
            </w:pPr>
            <w:r>
              <w:rPr>
                <w:rFonts w:hint="default" w:ascii="Times New Roman" w:hAnsi="Times New Roman" w:eastAsia="黑体" w:cs="Times New Roman"/>
                <w:sz w:val="24"/>
                <w:szCs w:val="24"/>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trPr>
        <w:tc>
          <w:tcPr>
            <w:tcW w:w="561" w:type="dxa"/>
            <w:tcBorders>
              <w:tl2br w:val="nil"/>
              <w:tr2bl w:val="nil"/>
            </w:tcBorders>
          </w:tcPr>
          <w:p>
            <w:pPr>
              <w:pStyle w:val="35"/>
              <w:spacing w:before="38"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1</w:t>
            </w:r>
          </w:p>
        </w:tc>
        <w:tc>
          <w:tcPr>
            <w:tcW w:w="3799" w:type="dxa"/>
            <w:tcBorders>
              <w:tl2br w:val="nil"/>
              <w:tr2bl w:val="nil"/>
            </w:tcBorders>
          </w:tcPr>
          <w:p>
            <w:pPr>
              <w:pStyle w:val="35"/>
              <w:spacing w:before="38" w:line="240" w:lineRule="auto"/>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农田灌溉水有效利用系数</w:t>
            </w:r>
          </w:p>
        </w:tc>
        <w:tc>
          <w:tcPr>
            <w:tcW w:w="989" w:type="dxa"/>
            <w:tcBorders>
              <w:tl2br w:val="nil"/>
              <w:tr2bl w:val="nil"/>
            </w:tcBorders>
          </w:tcPr>
          <w:p>
            <w:pPr>
              <w:pStyle w:val="35"/>
              <w:spacing w:before="52"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rPr>
              <w:t>0.</w:t>
            </w:r>
            <w:r>
              <w:rPr>
                <w:rFonts w:hint="default" w:ascii="Times New Roman" w:hAnsi="Times New Roman" w:eastAsia="仿宋" w:cs="Times New Roman"/>
                <w:sz w:val="24"/>
                <w:szCs w:val="24"/>
                <w:lang w:val="en-US"/>
              </w:rPr>
              <w:t>476</w:t>
            </w:r>
          </w:p>
        </w:tc>
        <w:tc>
          <w:tcPr>
            <w:tcW w:w="1332" w:type="dxa"/>
            <w:tcBorders>
              <w:tl2br w:val="nil"/>
              <w:tr2bl w:val="nil"/>
            </w:tcBorders>
          </w:tcPr>
          <w:p>
            <w:pPr>
              <w:pStyle w:val="35"/>
              <w:spacing w:before="38"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rPr>
              <w:t>＞0.5</w:t>
            </w:r>
            <w:r>
              <w:rPr>
                <w:rFonts w:hint="default" w:ascii="Times New Roman" w:hAnsi="Times New Roman" w:eastAsia="仿宋" w:cs="Times New Roman"/>
                <w:sz w:val="24"/>
                <w:szCs w:val="24"/>
                <w:lang w:val="en-US"/>
              </w:rPr>
              <w:t>0</w:t>
            </w:r>
          </w:p>
        </w:tc>
        <w:tc>
          <w:tcPr>
            <w:tcW w:w="848" w:type="dxa"/>
            <w:tcBorders>
              <w:tl2br w:val="nil"/>
              <w:tr2bl w:val="nil"/>
            </w:tcBorders>
          </w:tcPr>
          <w:p>
            <w:pPr>
              <w:pStyle w:val="35"/>
              <w:spacing w:before="38"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＞0.6</w:t>
            </w:r>
            <w:r>
              <w:rPr>
                <w:rFonts w:hint="default" w:ascii="Times New Roman" w:hAnsi="Times New Roman" w:eastAsia="仿宋" w:cs="Times New Roman"/>
                <w:sz w:val="24"/>
                <w:szCs w:val="24"/>
                <w:lang w:val="en-US"/>
              </w:rPr>
              <w:t>0</w:t>
            </w:r>
          </w:p>
        </w:tc>
        <w:tc>
          <w:tcPr>
            <w:tcW w:w="1207" w:type="dxa"/>
            <w:tcBorders>
              <w:tl2br w:val="nil"/>
              <w:tr2bl w:val="nil"/>
            </w:tcBorders>
          </w:tcPr>
          <w:p>
            <w:pPr>
              <w:pStyle w:val="35"/>
              <w:spacing w:before="51"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trPr>
        <w:tc>
          <w:tcPr>
            <w:tcW w:w="561" w:type="dxa"/>
            <w:tcBorders>
              <w:tl2br w:val="nil"/>
              <w:tr2bl w:val="nil"/>
            </w:tcBorders>
          </w:tcPr>
          <w:p>
            <w:pPr>
              <w:pStyle w:val="35"/>
              <w:spacing w:before="38"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2</w:t>
            </w:r>
          </w:p>
        </w:tc>
        <w:tc>
          <w:tcPr>
            <w:tcW w:w="3799" w:type="dxa"/>
            <w:tcBorders>
              <w:tl2br w:val="nil"/>
              <w:tr2bl w:val="nil"/>
            </w:tcBorders>
          </w:tcPr>
          <w:p>
            <w:pPr>
              <w:pStyle w:val="35"/>
              <w:spacing w:before="38" w:line="240" w:lineRule="auto"/>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多年平均综合毛灌溉用水量（m³/亩）</w:t>
            </w:r>
          </w:p>
        </w:tc>
        <w:tc>
          <w:tcPr>
            <w:tcW w:w="989" w:type="dxa"/>
            <w:tcBorders>
              <w:tl2br w:val="nil"/>
              <w:tr2bl w:val="nil"/>
            </w:tcBorders>
          </w:tcPr>
          <w:p>
            <w:pPr>
              <w:pStyle w:val="35"/>
              <w:spacing w:before="51"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225</w:t>
            </w:r>
          </w:p>
        </w:tc>
        <w:tc>
          <w:tcPr>
            <w:tcW w:w="1332" w:type="dxa"/>
            <w:tcBorders>
              <w:tl2br w:val="nil"/>
              <w:tr2bl w:val="nil"/>
            </w:tcBorders>
          </w:tcPr>
          <w:p>
            <w:pPr>
              <w:pStyle w:val="35"/>
              <w:spacing w:before="51"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rPr>
              <w:t>&lt;2</w:t>
            </w:r>
            <w:r>
              <w:rPr>
                <w:rFonts w:hint="default" w:ascii="Times New Roman" w:hAnsi="Times New Roman" w:eastAsia="仿宋" w:cs="Times New Roman"/>
                <w:sz w:val="24"/>
                <w:szCs w:val="24"/>
                <w:lang w:val="en-US"/>
              </w:rPr>
              <w:t>20</w:t>
            </w:r>
          </w:p>
        </w:tc>
        <w:tc>
          <w:tcPr>
            <w:tcW w:w="848" w:type="dxa"/>
            <w:tcBorders>
              <w:tl2br w:val="nil"/>
              <w:tr2bl w:val="nil"/>
            </w:tcBorders>
          </w:tcPr>
          <w:p>
            <w:pPr>
              <w:pStyle w:val="35"/>
              <w:spacing w:before="51"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rPr>
              <w:t>&lt;2</w:t>
            </w:r>
            <w:r>
              <w:rPr>
                <w:rFonts w:hint="default" w:ascii="Times New Roman" w:hAnsi="Times New Roman" w:eastAsia="仿宋" w:cs="Times New Roman"/>
                <w:sz w:val="24"/>
                <w:szCs w:val="24"/>
                <w:lang w:val="en-US"/>
              </w:rPr>
              <w:t>10</w:t>
            </w:r>
          </w:p>
        </w:tc>
        <w:tc>
          <w:tcPr>
            <w:tcW w:w="1207" w:type="dxa"/>
            <w:tcBorders>
              <w:tl2br w:val="nil"/>
              <w:tr2bl w:val="nil"/>
            </w:tcBorders>
          </w:tcPr>
          <w:p>
            <w:pPr>
              <w:pStyle w:val="35"/>
              <w:spacing w:before="38"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561" w:type="dxa"/>
            <w:tcBorders>
              <w:tl2br w:val="nil"/>
              <w:tr2bl w:val="nil"/>
            </w:tcBorders>
          </w:tcPr>
          <w:p>
            <w:pPr>
              <w:pStyle w:val="35"/>
              <w:spacing w:before="38"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3</w:t>
            </w:r>
          </w:p>
        </w:tc>
        <w:tc>
          <w:tcPr>
            <w:tcW w:w="3799" w:type="dxa"/>
            <w:tcBorders>
              <w:tl2br w:val="nil"/>
              <w:tr2bl w:val="nil"/>
            </w:tcBorders>
          </w:tcPr>
          <w:p>
            <w:pPr>
              <w:pStyle w:val="35"/>
              <w:spacing w:before="38" w:line="240" w:lineRule="auto"/>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节水灌溉</w:t>
            </w:r>
            <w:r>
              <w:rPr>
                <w:rFonts w:hint="default" w:ascii="Times New Roman" w:hAnsi="Times New Roman" w:eastAsia="仿宋" w:cs="Times New Roman"/>
                <w:sz w:val="24"/>
                <w:szCs w:val="24"/>
                <w:lang w:val="en-US"/>
              </w:rPr>
              <w:t>面积占比</w:t>
            </w:r>
            <w:r>
              <w:rPr>
                <w:rFonts w:hint="default" w:ascii="Times New Roman" w:hAnsi="Times New Roman" w:eastAsia="仿宋" w:cs="Times New Roman"/>
                <w:sz w:val="24"/>
                <w:szCs w:val="24"/>
              </w:rPr>
              <w:t>（%）</w:t>
            </w:r>
          </w:p>
        </w:tc>
        <w:tc>
          <w:tcPr>
            <w:tcW w:w="989" w:type="dxa"/>
            <w:tcBorders>
              <w:tl2br w:val="nil"/>
              <w:tr2bl w:val="nil"/>
            </w:tcBorders>
          </w:tcPr>
          <w:p>
            <w:pPr>
              <w:pStyle w:val="35"/>
              <w:spacing w:before="51"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40.6</w:t>
            </w:r>
          </w:p>
        </w:tc>
        <w:tc>
          <w:tcPr>
            <w:tcW w:w="1332" w:type="dxa"/>
            <w:tcBorders>
              <w:tl2br w:val="nil"/>
              <w:tr2bl w:val="nil"/>
            </w:tcBorders>
          </w:tcPr>
          <w:p>
            <w:pPr>
              <w:pStyle w:val="35"/>
              <w:spacing w:before="51"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49.9</w:t>
            </w:r>
          </w:p>
        </w:tc>
        <w:tc>
          <w:tcPr>
            <w:tcW w:w="848" w:type="dxa"/>
            <w:tcBorders>
              <w:tl2br w:val="nil"/>
              <w:tr2bl w:val="nil"/>
            </w:tcBorders>
          </w:tcPr>
          <w:p>
            <w:pPr>
              <w:pStyle w:val="35"/>
              <w:spacing w:before="51"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63.7</w:t>
            </w:r>
          </w:p>
        </w:tc>
        <w:tc>
          <w:tcPr>
            <w:tcW w:w="1207" w:type="dxa"/>
            <w:tcBorders>
              <w:tl2br w:val="nil"/>
              <w:tr2bl w:val="nil"/>
            </w:tcBorders>
          </w:tcPr>
          <w:p>
            <w:pPr>
              <w:pStyle w:val="35"/>
              <w:spacing w:before="51"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561" w:type="dxa"/>
            <w:tcBorders>
              <w:tl2br w:val="nil"/>
              <w:tr2bl w:val="nil"/>
            </w:tcBorders>
          </w:tcPr>
          <w:p>
            <w:pPr>
              <w:pStyle w:val="35"/>
              <w:spacing w:before="38"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4</w:t>
            </w:r>
          </w:p>
        </w:tc>
        <w:tc>
          <w:tcPr>
            <w:tcW w:w="3799" w:type="dxa"/>
            <w:tcBorders>
              <w:tl2br w:val="nil"/>
              <w:tr2bl w:val="nil"/>
            </w:tcBorders>
          </w:tcPr>
          <w:p>
            <w:pPr>
              <w:pStyle w:val="35"/>
              <w:spacing w:before="38" w:line="240" w:lineRule="auto"/>
              <w:ind w:firstLine="0" w:firstLineChars="0"/>
              <w:jc w:val="left"/>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高效节水灌溉面积占比</w:t>
            </w:r>
            <w:r>
              <w:rPr>
                <w:rFonts w:hint="default" w:ascii="Times New Roman" w:hAnsi="Times New Roman" w:eastAsia="仿宋" w:cs="Times New Roman"/>
                <w:sz w:val="24"/>
                <w:szCs w:val="24"/>
              </w:rPr>
              <w:t>（%）</w:t>
            </w:r>
          </w:p>
        </w:tc>
        <w:tc>
          <w:tcPr>
            <w:tcW w:w="989" w:type="dxa"/>
            <w:tcBorders>
              <w:tl2br w:val="nil"/>
              <w:tr2bl w:val="nil"/>
            </w:tcBorders>
          </w:tcPr>
          <w:p>
            <w:pPr>
              <w:pStyle w:val="35"/>
              <w:spacing w:before="51"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7.1</w:t>
            </w:r>
          </w:p>
        </w:tc>
        <w:tc>
          <w:tcPr>
            <w:tcW w:w="1332" w:type="dxa"/>
            <w:tcBorders>
              <w:tl2br w:val="nil"/>
              <w:tr2bl w:val="nil"/>
            </w:tcBorders>
          </w:tcPr>
          <w:p>
            <w:pPr>
              <w:pStyle w:val="35"/>
              <w:spacing w:before="51"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11.9</w:t>
            </w:r>
          </w:p>
        </w:tc>
        <w:tc>
          <w:tcPr>
            <w:tcW w:w="848" w:type="dxa"/>
            <w:tcBorders>
              <w:tl2br w:val="nil"/>
              <w:tr2bl w:val="nil"/>
            </w:tcBorders>
          </w:tcPr>
          <w:p>
            <w:pPr>
              <w:pStyle w:val="35"/>
              <w:spacing w:before="51"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17.1</w:t>
            </w:r>
          </w:p>
        </w:tc>
        <w:tc>
          <w:tcPr>
            <w:tcW w:w="1207" w:type="dxa"/>
            <w:tcBorders>
              <w:tl2br w:val="nil"/>
              <w:tr2bl w:val="nil"/>
            </w:tcBorders>
          </w:tcPr>
          <w:p>
            <w:pPr>
              <w:pStyle w:val="35"/>
              <w:spacing w:before="51"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561" w:type="dxa"/>
            <w:tcBorders>
              <w:tl2br w:val="nil"/>
              <w:tr2bl w:val="nil"/>
            </w:tcBorders>
          </w:tcPr>
          <w:p>
            <w:pPr>
              <w:pStyle w:val="35"/>
              <w:spacing w:before="38"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5</w:t>
            </w:r>
          </w:p>
        </w:tc>
        <w:tc>
          <w:tcPr>
            <w:tcW w:w="3799" w:type="dxa"/>
            <w:tcBorders>
              <w:tl2br w:val="nil"/>
              <w:tr2bl w:val="nil"/>
            </w:tcBorders>
          </w:tcPr>
          <w:p>
            <w:pPr>
              <w:pStyle w:val="35"/>
              <w:spacing w:before="38" w:line="240" w:lineRule="auto"/>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农业</w:t>
            </w:r>
            <w:r>
              <w:rPr>
                <w:rFonts w:hint="default" w:ascii="Times New Roman" w:hAnsi="Times New Roman" w:eastAsia="仿宋" w:cs="Times New Roman"/>
                <w:sz w:val="24"/>
                <w:szCs w:val="24"/>
                <w:lang w:val="en-US"/>
              </w:rPr>
              <w:t>灌溉</w:t>
            </w:r>
            <w:r>
              <w:rPr>
                <w:rFonts w:hint="default" w:ascii="Times New Roman" w:hAnsi="Times New Roman" w:eastAsia="仿宋" w:cs="Times New Roman"/>
                <w:sz w:val="24"/>
                <w:szCs w:val="24"/>
              </w:rPr>
              <w:t>用水计量率（%）</w:t>
            </w:r>
          </w:p>
        </w:tc>
        <w:tc>
          <w:tcPr>
            <w:tcW w:w="989" w:type="dxa"/>
            <w:tcBorders>
              <w:tl2br w:val="nil"/>
              <w:tr2bl w:val="nil"/>
            </w:tcBorders>
          </w:tcPr>
          <w:p>
            <w:pPr>
              <w:pStyle w:val="35"/>
              <w:spacing w:before="51"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40</w:t>
            </w:r>
          </w:p>
        </w:tc>
        <w:tc>
          <w:tcPr>
            <w:tcW w:w="1332" w:type="dxa"/>
            <w:tcBorders>
              <w:tl2br w:val="nil"/>
              <w:tr2bl w:val="nil"/>
            </w:tcBorders>
          </w:tcPr>
          <w:p>
            <w:pPr>
              <w:pStyle w:val="35"/>
              <w:spacing w:before="51"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60</w:t>
            </w:r>
          </w:p>
        </w:tc>
        <w:tc>
          <w:tcPr>
            <w:tcW w:w="848" w:type="dxa"/>
            <w:tcBorders>
              <w:tl2br w:val="nil"/>
              <w:tr2bl w:val="nil"/>
            </w:tcBorders>
          </w:tcPr>
          <w:p>
            <w:pPr>
              <w:pStyle w:val="35"/>
              <w:spacing w:before="51"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rPr>
              <w:t>70</w:t>
            </w:r>
          </w:p>
        </w:tc>
        <w:tc>
          <w:tcPr>
            <w:tcW w:w="1207" w:type="dxa"/>
            <w:tcBorders>
              <w:tl2br w:val="nil"/>
              <w:tr2bl w:val="nil"/>
            </w:tcBorders>
          </w:tcPr>
          <w:p>
            <w:pPr>
              <w:pStyle w:val="35"/>
              <w:spacing w:before="51"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rPr>
              <w:t>预期性</w:t>
            </w:r>
          </w:p>
        </w:tc>
      </w:tr>
    </w:tbl>
    <w:p>
      <w:pPr>
        <w:widowControl/>
        <w:spacing w:line="360" w:lineRule="auto"/>
        <w:ind w:firstLine="321" w:firstLineChars="100"/>
        <w:outlineLvl w:val="2"/>
        <w:rPr>
          <w:rFonts w:hint="default" w:ascii="Times New Roman" w:hAnsi="Times New Roman" w:eastAsia="仿宋_GB2312" w:cs="Times New Roman"/>
          <w:b/>
          <w:bCs/>
          <w:sz w:val="32"/>
          <w:szCs w:val="32"/>
        </w:rPr>
      </w:pPr>
      <w:bookmarkStart w:id="169" w:name="_Toc15670"/>
      <w:bookmarkStart w:id="170" w:name="_Toc5150"/>
      <w:bookmarkStart w:id="171" w:name="_Toc26006"/>
      <w:bookmarkStart w:id="172" w:name="_Toc14579"/>
      <w:bookmarkStart w:id="173" w:name="_Toc32298"/>
      <w:bookmarkStart w:id="174" w:name="_Toc225"/>
      <w:r>
        <w:rPr>
          <w:rFonts w:hint="default" w:ascii="Times New Roman" w:hAnsi="Times New Roman" w:eastAsia="仿宋_GB2312" w:cs="Times New Roman"/>
          <w:b/>
          <w:bCs/>
          <w:sz w:val="32"/>
          <w:szCs w:val="32"/>
        </w:rPr>
        <w:t>（2）农业节水工程规划</w:t>
      </w:r>
      <w:bookmarkEnd w:id="169"/>
      <w:bookmarkEnd w:id="170"/>
      <w:bookmarkEnd w:id="171"/>
      <w:bookmarkEnd w:id="172"/>
      <w:bookmarkEnd w:id="173"/>
      <w:bookmarkEnd w:id="174"/>
    </w:p>
    <w:p>
      <w:pPr>
        <w:pStyle w:val="24"/>
        <w:spacing w:line="360" w:lineRule="auto"/>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 1 \* GB3 \* MERGEFORMAT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①</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t xml:space="preserve"> 灌区续建配套与节水改造规划</w:t>
      </w:r>
    </w:p>
    <w:p>
      <w:pPr>
        <w:pStyle w:val="36"/>
        <w:spacing w:line="360" w:lineRule="auto"/>
        <w:ind w:firstLine="562"/>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——中型灌区续建配套与节水改造</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开展已成中型灌区续建配套与节水改造工程，以及新建大、中型水源工程所属灌区渠系续建配套工程，增加节水灌溉面积，提升灌溉水利用效率。</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巴中市现有中型灌区（1.0万亩以上）12处，设计灌面36.04万亩，现状有效灌面17.37万亩。规划开展化成水库灌区、友谊水库灌区、玉堂水库灌区、牛角坑水库灌区等11座中型灌区的续建配套与节水改造，续建渠系142km，整治渠系248km，新增有效灌溉面积7.15万亩，改善灌面8.86万亩，其中节水灌溉面积12.80万亩。通过新建大、中型水源工程，配套所属灌区渠系续建工程，新建红鱼洞水库灌区、青龙嘴水库灌区等11座中型灌区的续建配套与节水改造，续建渠系1038km，整治渠系49km，新增有效灌溉面积52.51万亩，改善灌面34.24万亩，其中节水灌溉面积53.62万亩。</w:t>
      </w:r>
    </w:p>
    <w:p>
      <w:pPr>
        <w:pStyle w:val="32"/>
        <w:ind w:firstLine="0" w:firstLineChars="0"/>
        <w:jc w:val="center"/>
        <w:rPr>
          <w:rFonts w:hint="default" w:ascii="Times New Roman" w:hAnsi="Times New Roman" w:cs="Times New Roman"/>
        </w:rPr>
      </w:pPr>
      <w:r>
        <w:rPr>
          <w:rFonts w:hint="default" w:ascii="Times New Roman" w:hAnsi="Times New Roman" w:eastAsia="黑体" w:cs="Times New Roman"/>
          <w:b w:val="0"/>
          <w:sz w:val="24"/>
          <w:szCs w:val="24"/>
        </w:rPr>
        <w:t>表5.2中型灌区续建配套与节水改造重点工程</w:t>
      </w:r>
    </w:p>
    <w:tbl>
      <w:tblPr>
        <w:tblStyle w:val="18"/>
        <w:tblW w:w="9403" w:type="dxa"/>
        <w:tblInd w:w="-220" w:type="dxa"/>
        <w:tblLayout w:type="fixed"/>
        <w:tblCellMar>
          <w:top w:w="0" w:type="dxa"/>
          <w:left w:w="108" w:type="dxa"/>
          <w:bottom w:w="0" w:type="dxa"/>
          <w:right w:w="108" w:type="dxa"/>
        </w:tblCellMar>
      </w:tblPr>
      <w:tblGrid>
        <w:gridCol w:w="623"/>
        <w:gridCol w:w="1397"/>
        <w:gridCol w:w="748"/>
        <w:gridCol w:w="786"/>
        <w:gridCol w:w="833"/>
        <w:gridCol w:w="837"/>
        <w:gridCol w:w="833"/>
        <w:gridCol w:w="833"/>
        <w:gridCol w:w="950"/>
        <w:gridCol w:w="730"/>
        <w:gridCol w:w="833"/>
      </w:tblGrid>
      <w:tr>
        <w:tblPrEx>
          <w:tblCellMar>
            <w:top w:w="0" w:type="dxa"/>
            <w:left w:w="108" w:type="dxa"/>
            <w:bottom w:w="0" w:type="dxa"/>
            <w:right w:w="108" w:type="dxa"/>
          </w:tblCellMar>
        </w:tblPrEx>
        <w:trPr>
          <w:trHeight w:val="248" w:hRule="atLeast"/>
          <w:tblHeader/>
        </w:trPr>
        <w:tc>
          <w:tcPr>
            <w:tcW w:w="6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eastAsia="黑体" w:cs="Times New Roman"/>
                <w:kern w:val="0"/>
                <w:sz w:val="16"/>
                <w:szCs w:val="16"/>
                <w:lang w:bidi="ar"/>
              </w:rPr>
            </w:pPr>
            <w:r>
              <w:rPr>
                <w:rFonts w:hint="default" w:ascii="Times New Roman" w:hAnsi="Times New Roman" w:eastAsia="黑体" w:cs="Times New Roman"/>
                <w:kern w:val="0"/>
                <w:sz w:val="16"/>
                <w:szCs w:val="16"/>
                <w:lang w:bidi="ar"/>
              </w:rPr>
              <w:t>类型</w:t>
            </w:r>
          </w:p>
        </w:tc>
        <w:tc>
          <w:tcPr>
            <w:tcW w:w="13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eastAsia="黑体" w:cs="Times New Roman"/>
                <w:kern w:val="0"/>
                <w:sz w:val="16"/>
                <w:szCs w:val="16"/>
                <w:lang w:bidi="ar"/>
              </w:rPr>
            </w:pPr>
            <w:r>
              <w:rPr>
                <w:rFonts w:hint="default" w:ascii="Times New Roman" w:hAnsi="Times New Roman" w:eastAsia="黑体" w:cs="Times New Roman"/>
                <w:kern w:val="0"/>
                <w:sz w:val="16"/>
                <w:szCs w:val="16"/>
                <w:lang w:bidi="ar"/>
              </w:rPr>
              <w:t>续建配套与节水改造灌区名称</w:t>
            </w:r>
          </w:p>
        </w:tc>
        <w:tc>
          <w:tcPr>
            <w:tcW w:w="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eastAsia="黑体" w:cs="Times New Roman"/>
                <w:kern w:val="0"/>
                <w:sz w:val="16"/>
                <w:szCs w:val="16"/>
                <w:lang w:bidi="ar"/>
              </w:rPr>
            </w:pPr>
            <w:r>
              <w:rPr>
                <w:rFonts w:hint="default" w:ascii="Times New Roman" w:hAnsi="Times New Roman" w:eastAsia="黑体" w:cs="Times New Roman"/>
                <w:kern w:val="0"/>
                <w:sz w:val="16"/>
                <w:szCs w:val="16"/>
                <w:lang w:bidi="ar"/>
              </w:rPr>
              <w:t>所在</w:t>
            </w:r>
          </w:p>
          <w:p>
            <w:pPr>
              <w:widowControl/>
              <w:spacing w:line="200" w:lineRule="exact"/>
              <w:ind w:firstLine="0" w:firstLineChars="0"/>
              <w:jc w:val="center"/>
              <w:textAlignment w:val="center"/>
              <w:rPr>
                <w:rFonts w:hint="default" w:ascii="Times New Roman" w:hAnsi="Times New Roman" w:eastAsia="黑体" w:cs="Times New Roman"/>
                <w:kern w:val="0"/>
                <w:sz w:val="16"/>
                <w:szCs w:val="16"/>
                <w:lang w:bidi="ar"/>
              </w:rPr>
            </w:pPr>
            <w:r>
              <w:rPr>
                <w:rFonts w:hint="default" w:ascii="Times New Roman" w:hAnsi="Times New Roman" w:eastAsia="黑体" w:cs="Times New Roman"/>
                <w:kern w:val="0"/>
                <w:sz w:val="16"/>
                <w:szCs w:val="16"/>
                <w:lang w:bidi="ar"/>
              </w:rPr>
              <w:t>区县</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eastAsia="黑体" w:cs="Times New Roman"/>
                <w:kern w:val="0"/>
                <w:sz w:val="16"/>
                <w:szCs w:val="16"/>
                <w:lang w:bidi="ar"/>
              </w:rPr>
            </w:pPr>
            <w:r>
              <w:rPr>
                <w:rFonts w:hint="default" w:ascii="Times New Roman" w:hAnsi="Times New Roman" w:eastAsia="黑体" w:cs="Times New Roman"/>
                <w:kern w:val="0"/>
                <w:sz w:val="16"/>
                <w:szCs w:val="16"/>
                <w:lang w:bidi="ar"/>
              </w:rPr>
              <w:t>设计灌溉面积</w:t>
            </w:r>
          </w:p>
        </w:tc>
        <w:tc>
          <w:tcPr>
            <w:tcW w:w="1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eastAsia="黑体" w:cs="Times New Roman"/>
                <w:kern w:val="0"/>
                <w:sz w:val="16"/>
                <w:szCs w:val="16"/>
                <w:lang w:bidi="ar"/>
              </w:rPr>
            </w:pPr>
            <w:r>
              <w:rPr>
                <w:rFonts w:hint="default" w:ascii="Times New Roman" w:hAnsi="Times New Roman" w:eastAsia="黑体" w:cs="Times New Roman"/>
                <w:kern w:val="0"/>
                <w:sz w:val="16"/>
                <w:szCs w:val="16"/>
                <w:lang w:bidi="ar"/>
              </w:rPr>
              <w:t>规划任务</w:t>
            </w:r>
          </w:p>
        </w:tc>
        <w:tc>
          <w:tcPr>
            <w:tcW w:w="26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eastAsia="黑体" w:cs="Times New Roman"/>
                <w:kern w:val="0"/>
                <w:sz w:val="16"/>
                <w:szCs w:val="16"/>
                <w:lang w:bidi="ar"/>
              </w:rPr>
            </w:pPr>
            <w:r>
              <w:rPr>
                <w:rFonts w:hint="default" w:ascii="Times New Roman" w:hAnsi="Times New Roman" w:eastAsia="黑体" w:cs="Times New Roman"/>
                <w:kern w:val="0"/>
                <w:sz w:val="16"/>
                <w:szCs w:val="16"/>
                <w:lang w:bidi="ar"/>
              </w:rPr>
              <w:t>实施效益</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eastAsia="黑体" w:cs="Times New Roman"/>
                <w:kern w:val="0"/>
                <w:sz w:val="16"/>
                <w:szCs w:val="16"/>
                <w:lang w:bidi="ar"/>
              </w:rPr>
            </w:pPr>
            <w:r>
              <w:rPr>
                <w:rFonts w:hint="default" w:ascii="Times New Roman" w:hAnsi="Times New Roman" w:eastAsia="黑体" w:cs="Times New Roman"/>
                <w:kern w:val="0"/>
                <w:sz w:val="16"/>
                <w:szCs w:val="16"/>
                <w:lang w:bidi="ar"/>
              </w:rPr>
              <w:t>规划建设水平年</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eastAsia="黑体" w:cs="Times New Roman"/>
                <w:kern w:val="0"/>
                <w:sz w:val="16"/>
                <w:szCs w:val="16"/>
                <w:lang w:eastAsia="zh-CN" w:bidi="ar"/>
              </w:rPr>
            </w:pPr>
            <w:r>
              <w:rPr>
                <w:rFonts w:hint="default" w:ascii="Times New Roman" w:hAnsi="Times New Roman" w:eastAsia="黑体" w:cs="Times New Roman"/>
                <w:kern w:val="0"/>
                <w:sz w:val="16"/>
                <w:szCs w:val="16"/>
                <w:lang w:bidi="ar"/>
              </w:rPr>
              <w:t>总投资</w:t>
            </w:r>
          </w:p>
          <w:p>
            <w:pPr>
              <w:widowControl/>
              <w:spacing w:line="200" w:lineRule="exact"/>
              <w:ind w:firstLine="0" w:firstLineChars="0"/>
              <w:jc w:val="center"/>
              <w:textAlignment w:val="center"/>
              <w:rPr>
                <w:rFonts w:hint="default" w:ascii="Times New Roman" w:hAnsi="Times New Roman" w:eastAsia="黑体" w:cs="Times New Roman"/>
                <w:kern w:val="0"/>
                <w:sz w:val="16"/>
                <w:szCs w:val="16"/>
                <w:lang w:bidi="ar"/>
              </w:rPr>
            </w:pPr>
            <w:r>
              <w:rPr>
                <w:rFonts w:hint="default" w:ascii="Times New Roman" w:hAnsi="Times New Roman" w:eastAsia="黑体" w:cs="Times New Roman"/>
                <w:kern w:val="0"/>
                <w:sz w:val="16"/>
                <w:szCs w:val="16"/>
                <w:lang w:bidi="ar"/>
              </w:rPr>
              <w:t>（万元）</w:t>
            </w:r>
          </w:p>
        </w:tc>
      </w:tr>
      <w:tr>
        <w:tblPrEx>
          <w:tblCellMar>
            <w:top w:w="0" w:type="dxa"/>
            <w:left w:w="108" w:type="dxa"/>
            <w:bottom w:w="0" w:type="dxa"/>
            <w:right w:w="108" w:type="dxa"/>
          </w:tblCellMar>
        </w:tblPrEx>
        <w:trPr>
          <w:trHeight w:val="312" w:hRule="atLeast"/>
          <w:tblHeader/>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exact"/>
              <w:ind w:firstLine="320"/>
              <w:jc w:val="center"/>
              <w:textAlignment w:val="center"/>
              <w:rPr>
                <w:rFonts w:hint="default" w:ascii="Times New Roman" w:hAnsi="Times New Roman" w:eastAsia="黑体" w:cs="Times New Roman"/>
                <w:kern w:val="0"/>
                <w:sz w:val="16"/>
                <w:szCs w:val="16"/>
                <w:lang w:bidi="ar"/>
              </w:rPr>
            </w:pPr>
          </w:p>
        </w:tc>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20"/>
              <w:jc w:val="center"/>
              <w:textAlignment w:val="center"/>
              <w:rPr>
                <w:rFonts w:hint="default" w:ascii="Times New Roman" w:hAnsi="Times New Roman" w:eastAsia="黑体" w:cs="Times New Roman"/>
                <w:kern w:val="0"/>
                <w:sz w:val="16"/>
                <w:szCs w:val="16"/>
                <w:lang w:bidi="ar"/>
              </w:rPr>
            </w:pPr>
          </w:p>
        </w:tc>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20"/>
              <w:jc w:val="center"/>
              <w:textAlignment w:val="center"/>
              <w:rPr>
                <w:rFonts w:hint="default" w:ascii="Times New Roman" w:hAnsi="Times New Roman" w:eastAsia="黑体" w:cs="Times New Roman"/>
                <w:kern w:val="0"/>
                <w:sz w:val="16"/>
                <w:szCs w:val="16"/>
                <w:lang w:bidi="ar"/>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20"/>
              <w:jc w:val="center"/>
              <w:textAlignment w:val="center"/>
              <w:rPr>
                <w:rFonts w:hint="default" w:ascii="Times New Roman" w:hAnsi="Times New Roman" w:eastAsia="黑体" w:cs="Times New Roman"/>
                <w:kern w:val="0"/>
                <w:sz w:val="16"/>
                <w:szCs w:val="16"/>
                <w:lang w:bidi="ar"/>
              </w:rPr>
            </w:pP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eastAsia="黑体" w:cs="Times New Roman"/>
                <w:kern w:val="0"/>
                <w:sz w:val="16"/>
                <w:szCs w:val="16"/>
                <w:lang w:bidi="ar"/>
              </w:rPr>
            </w:pPr>
            <w:r>
              <w:rPr>
                <w:rFonts w:hint="default" w:ascii="Times New Roman" w:hAnsi="Times New Roman" w:eastAsia="黑体" w:cs="Times New Roman"/>
                <w:kern w:val="0"/>
                <w:sz w:val="16"/>
                <w:szCs w:val="16"/>
                <w:lang w:bidi="ar"/>
              </w:rPr>
              <w:t>新建渠道长度（km）</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eastAsia="黑体" w:cs="Times New Roman"/>
                <w:kern w:val="0"/>
                <w:sz w:val="16"/>
                <w:szCs w:val="16"/>
                <w:lang w:bidi="ar"/>
              </w:rPr>
            </w:pPr>
            <w:r>
              <w:rPr>
                <w:rFonts w:hint="default" w:ascii="Times New Roman" w:hAnsi="Times New Roman" w:eastAsia="黑体" w:cs="Times New Roman"/>
                <w:kern w:val="0"/>
                <w:sz w:val="16"/>
                <w:szCs w:val="16"/>
                <w:lang w:bidi="ar"/>
              </w:rPr>
              <w:t>整治渠道长度（km）</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eastAsia="黑体" w:cs="Times New Roman"/>
                <w:kern w:val="0"/>
                <w:sz w:val="16"/>
                <w:szCs w:val="16"/>
                <w:lang w:bidi="ar"/>
              </w:rPr>
            </w:pPr>
            <w:r>
              <w:rPr>
                <w:rFonts w:hint="default" w:ascii="Times New Roman" w:hAnsi="Times New Roman" w:eastAsia="黑体" w:cs="Times New Roman"/>
                <w:kern w:val="0"/>
                <w:sz w:val="16"/>
                <w:szCs w:val="16"/>
                <w:lang w:bidi="ar"/>
              </w:rPr>
              <w:t>新增</w:t>
            </w:r>
          </w:p>
          <w:p>
            <w:pPr>
              <w:widowControl/>
              <w:spacing w:line="200" w:lineRule="exact"/>
              <w:ind w:firstLine="0" w:firstLineChars="0"/>
              <w:jc w:val="center"/>
              <w:textAlignment w:val="center"/>
              <w:rPr>
                <w:rFonts w:hint="default" w:ascii="Times New Roman" w:hAnsi="Times New Roman" w:eastAsia="黑体" w:cs="Times New Roman"/>
                <w:kern w:val="0"/>
                <w:sz w:val="16"/>
                <w:szCs w:val="16"/>
                <w:lang w:eastAsia="zh-CN" w:bidi="ar"/>
              </w:rPr>
            </w:pPr>
            <w:r>
              <w:rPr>
                <w:rFonts w:hint="default" w:ascii="Times New Roman" w:hAnsi="Times New Roman" w:eastAsia="黑体" w:cs="Times New Roman"/>
                <w:kern w:val="0"/>
                <w:sz w:val="16"/>
                <w:szCs w:val="16"/>
                <w:lang w:bidi="ar"/>
              </w:rPr>
              <w:t>灌面</w:t>
            </w:r>
          </w:p>
          <w:p>
            <w:pPr>
              <w:widowControl/>
              <w:spacing w:line="200" w:lineRule="exact"/>
              <w:ind w:firstLine="0" w:firstLineChars="0"/>
              <w:jc w:val="center"/>
              <w:textAlignment w:val="center"/>
              <w:rPr>
                <w:rFonts w:hint="default" w:ascii="Times New Roman" w:hAnsi="Times New Roman" w:eastAsia="黑体" w:cs="Times New Roman"/>
                <w:kern w:val="0"/>
                <w:sz w:val="16"/>
                <w:szCs w:val="16"/>
                <w:lang w:bidi="ar"/>
              </w:rPr>
            </w:pPr>
            <w:r>
              <w:rPr>
                <w:rFonts w:hint="default" w:ascii="Times New Roman" w:hAnsi="Times New Roman" w:eastAsia="黑体" w:cs="Times New Roman"/>
                <w:kern w:val="0"/>
                <w:sz w:val="16"/>
                <w:szCs w:val="16"/>
                <w:lang w:bidi="ar"/>
              </w:rPr>
              <w:t>（万亩）</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eastAsia="黑体" w:cs="Times New Roman"/>
                <w:kern w:val="0"/>
                <w:sz w:val="16"/>
                <w:szCs w:val="16"/>
                <w:lang w:bidi="ar"/>
              </w:rPr>
            </w:pPr>
            <w:r>
              <w:rPr>
                <w:rFonts w:hint="default" w:ascii="Times New Roman" w:hAnsi="Times New Roman" w:eastAsia="黑体" w:cs="Times New Roman"/>
                <w:kern w:val="0"/>
                <w:sz w:val="16"/>
                <w:szCs w:val="16"/>
                <w:lang w:bidi="ar"/>
              </w:rPr>
              <w:t>改善</w:t>
            </w:r>
          </w:p>
          <w:p>
            <w:pPr>
              <w:widowControl/>
              <w:spacing w:line="200" w:lineRule="exact"/>
              <w:ind w:firstLine="0" w:firstLineChars="0"/>
              <w:jc w:val="center"/>
              <w:textAlignment w:val="center"/>
              <w:rPr>
                <w:rFonts w:hint="default" w:ascii="Times New Roman" w:hAnsi="Times New Roman" w:eastAsia="黑体" w:cs="Times New Roman"/>
                <w:kern w:val="0"/>
                <w:sz w:val="16"/>
                <w:szCs w:val="16"/>
                <w:lang w:eastAsia="zh-CN" w:bidi="ar"/>
              </w:rPr>
            </w:pPr>
            <w:r>
              <w:rPr>
                <w:rFonts w:hint="default" w:ascii="Times New Roman" w:hAnsi="Times New Roman" w:eastAsia="黑体" w:cs="Times New Roman"/>
                <w:kern w:val="0"/>
                <w:sz w:val="16"/>
                <w:szCs w:val="16"/>
                <w:lang w:bidi="ar"/>
              </w:rPr>
              <w:t>灌面</w:t>
            </w:r>
          </w:p>
          <w:p>
            <w:pPr>
              <w:widowControl/>
              <w:spacing w:line="200" w:lineRule="exact"/>
              <w:ind w:firstLine="0" w:firstLineChars="0"/>
              <w:jc w:val="center"/>
              <w:textAlignment w:val="center"/>
              <w:rPr>
                <w:rFonts w:hint="default" w:ascii="Times New Roman" w:hAnsi="Times New Roman" w:eastAsia="黑体" w:cs="Times New Roman"/>
                <w:kern w:val="0"/>
                <w:sz w:val="16"/>
                <w:szCs w:val="16"/>
                <w:lang w:bidi="ar"/>
              </w:rPr>
            </w:pPr>
            <w:r>
              <w:rPr>
                <w:rFonts w:hint="default" w:ascii="Times New Roman" w:hAnsi="Times New Roman" w:eastAsia="黑体" w:cs="Times New Roman"/>
                <w:kern w:val="0"/>
                <w:sz w:val="16"/>
                <w:szCs w:val="16"/>
                <w:lang w:bidi="ar"/>
              </w:rPr>
              <w:t>（万亩）</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eastAsia="黑体" w:cs="Times New Roman"/>
                <w:kern w:val="0"/>
                <w:sz w:val="16"/>
                <w:szCs w:val="16"/>
                <w:lang w:bidi="ar"/>
              </w:rPr>
            </w:pPr>
            <w:r>
              <w:rPr>
                <w:rFonts w:hint="default" w:ascii="Times New Roman" w:hAnsi="Times New Roman" w:eastAsia="黑体" w:cs="Times New Roman"/>
                <w:kern w:val="0"/>
                <w:sz w:val="16"/>
                <w:szCs w:val="16"/>
                <w:lang w:bidi="ar"/>
              </w:rPr>
              <w:t>其中新增节水灌面</w:t>
            </w:r>
            <w:r>
              <w:rPr>
                <w:rStyle w:val="37"/>
                <w:rFonts w:hint="default" w:ascii="Times New Roman" w:hAnsi="Times New Roman" w:eastAsia="黑体" w:cs="Times New Roman"/>
                <w:color w:val="auto"/>
                <w:lang w:bidi="ar"/>
              </w:rPr>
              <w:t>（万亩）</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20"/>
              <w:jc w:val="center"/>
              <w:textAlignment w:val="center"/>
              <w:rPr>
                <w:rFonts w:hint="default" w:ascii="Times New Roman" w:hAnsi="Times New Roman" w:eastAsia="黑体" w:cs="Times New Roman"/>
                <w:kern w:val="0"/>
                <w:sz w:val="16"/>
                <w:szCs w:val="16"/>
                <w:lang w:bidi="ar"/>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20"/>
              <w:jc w:val="center"/>
              <w:textAlignment w:val="center"/>
              <w:rPr>
                <w:rFonts w:hint="default" w:ascii="Times New Roman" w:hAnsi="Times New Roman" w:eastAsia="黑体" w:cs="Times New Roman"/>
                <w:kern w:val="0"/>
                <w:sz w:val="16"/>
                <w:szCs w:val="16"/>
                <w:lang w:bidi="ar"/>
              </w:rPr>
            </w:pPr>
          </w:p>
        </w:tc>
      </w:tr>
      <w:tr>
        <w:tblPrEx>
          <w:tblCellMar>
            <w:top w:w="0" w:type="dxa"/>
            <w:left w:w="108" w:type="dxa"/>
            <w:bottom w:w="0" w:type="dxa"/>
            <w:right w:w="108" w:type="dxa"/>
          </w:tblCellMar>
        </w:tblPrEx>
        <w:trPr>
          <w:trHeight w:val="312" w:hRule="atLeast"/>
          <w:tblHeader/>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exact"/>
              <w:ind w:firstLine="320"/>
              <w:jc w:val="center"/>
              <w:textAlignment w:val="center"/>
              <w:rPr>
                <w:rFonts w:hint="default" w:ascii="Times New Roman" w:hAnsi="Times New Roman" w:eastAsia="黑体" w:cs="Times New Roman"/>
                <w:kern w:val="0"/>
                <w:sz w:val="16"/>
                <w:szCs w:val="16"/>
                <w:lang w:bidi="ar"/>
              </w:rPr>
            </w:pPr>
          </w:p>
        </w:tc>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20"/>
              <w:jc w:val="center"/>
              <w:textAlignment w:val="center"/>
              <w:rPr>
                <w:rFonts w:hint="default" w:ascii="Times New Roman" w:hAnsi="Times New Roman" w:eastAsia="黑体" w:cs="Times New Roman"/>
                <w:kern w:val="0"/>
                <w:sz w:val="16"/>
                <w:szCs w:val="16"/>
                <w:lang w:bidi="ar"/>
              </w:rPr>
            </w:pPr>
          </w:p>
        </w:tc>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20"/>
              <w:jc w:val="center"/>
              <w:textAlignment w:val="center"/>
              <w:rPr>
                <w:rFonts w:hint="default" w:ascii="Times New Roman" w:hAnsi="Times New Roman" w:eastAsia="黑体" w:cs="Times New Roman"/>
                <w:kern w:val="0"/>
                <w:sz w:val="16"/>
                <w:szCs w:val="16"/>
                <w:lang w:bidi="ar"/>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20"/>
              <w:jc w:val="center"/>
              <w:textAlignment w:val="center"/>
              <w:rPr>
                <w:rFonts w:hint="default" w:ascii="Times New Roman" w:hAnsi="Times New Roman" w:eastAsia="黑体" w:cs="Times New Roman"/>
                <w:kern w:val="0"/>
                <w:sz w:val="16"/>
                <w:szCs w:val="16"/>
                <w:lang w:bidi="ar"/>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20"/>
              <w:jc w:val="center"/>
              <w:textAlignment w:val="center"/>
              <w:rPr>
                <w:rFonts w:hint="default" w:ascii="Times New Roman" w:hAnsi="Times New Roman" w:eastAsia="黑体" w:cs="Times New Roman"/>
                <w:kern w:val="0"/>
                <w:sz w:val="16"/>
                <w:szCs w:val="16"/>
                <w:lang w:bidi="ar"/>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20"/>
              <w:jc w:val="center"/>
              <w:textAlignment w:val="center"/>
              <w:rPr>
                <w:rFonts w:hint="default" w:ascii="Times New Roman" w:hAnsi="Times New Roman" w:eastAsia="黑体" w:cs="Times New Roman"/>
                <w:kern w:val="0"/>
                <w:sz w:val="16"/>
                <w:szCs w:val="16"/>
                <w:lang w:bidi="ar"/>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20"/>
              <w:jc w:val="center"/>
              <w:textAlignment w:val="center"/>
              <w:rPr>
                <w:rFonts w:hint="default" w:ascii="Times New Roman" w:hAnsi="Times New Roman" w:eastAsia="黑体" w:cs="Times New Roman"/>
                <w:kern w:val="0"/>
                <w:sz w:val="16"/>
                <w:szCs w:val="16"/>
                <w:lang w:bidi="ar"/>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20"/>
              <w:jc w:val="center"/>
              <w:textAlignment w:val="center"/>
              <w:rPr>
                <w:rFonts w:hint="default" w:ascii="Times New Roman" w:hAnsi="Times New Roman" w:eastAsia="黑体" w:cs="Times New Roman"/>
                <w:kern w:val="0"/>
                <w:sz w:val="16"/>
                <w:szCs w:val="16"/>
                <w:lang w:bidi="ar"/>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20"/>
              <w:jc w:val="center"/>
              <w:textAlignment w:val="center"/>
              <w:rPr>
                <w:rFonts w:hint="default" w:ascii="Times New Roman" w:hAnsi="Times New Roman" w:eastAsia="黑体" w:cs="Times New Roman"/>
                <w:kern w:val="0"/>
                <w:sz w:val="16"/>
                <w:szCs w:val="16"/>
                <w:lang w:bidi="ar"/>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20"/>
              <w:jc w:val="center"/>
              <w:textAlignment w:val="center"/>
              <w:rPr>
                <w:rFonts w:hint="default" w:ascii="Times New Roman" w:hAnsi="Times New Roman" w:eastAsia="黑体" w:cs="Times New Roman"/>
                <w:kern w:val="0"/>
                <w:sz w:val="16"/>
                <w:szCs w:val="16"/>
                <w:lang w:bidi="ar"/>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20"/>
              <w:jc w:val="center"/>
              <w:textAlignment w:val="center"/>
              <w:rPr>
                <w:rFonts w:hint="default" w:ascii="Times New Roman" w:hAnsi="Times New Roman" w:eastAsia="黑体" w:cs="Times New Roman"/>
                <w:kern w:val="0"/>
                <w:sz w:val="16"/>
                <w:szCs w:val="16"/>
                <w:lang w:bidi="ar"/>
              </w:rPr>
            </w:pPr>
          </w:p>
        </w:tc>
      </w:tr>
      <w:tr>
        <w:tblPrEx>
          <w:tblCellMar>
            <w:top w:w="0" w:type="dxa"/>
            <w:left w:w="108" w:type="dxa"/>
            <w:bottom w:w="0" w:type="dxa"/>
            <w:right w:w="108" w:type="dxa"/>
          </w:tblCellMar>
        </w:tblPrEx>
        <w:trPr>
          <w:trHeight w:val="370" w:hRule="atLeast"/>
        </w:trPr>
        <w:tc>
          <w:tcPr>
            <w:tcW w:w="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b/>
                <w:bCs/>
                <w:kern w:val="0"/>
                <w:sz w:val="20"/>
                <w:szCs w:val="20"/>
                <w:lang w:bidi="ar"/>
              </w:rPr>
              <w:t>已成灌区</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化成水库灌区</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巴州区</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6.66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40</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4</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0.8</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2.39</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2021-</w:t>
            </w:r>
          </w:p>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2025年</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16100</w:t>
            </w:r>
          </w:p>
        </w:tc>
      </w:tr>
      <w:tr>
        <w:tblPrEx>
          <w:tblCellMar>
            <w:top w:w="0" w:type="dxa"/>
            <w:left w:w="108" w:type="dxa"/>
            <w:bottom w:w="0" w:type="dxa"/>
            <w:right w:w="108" w:type="dxa"/>
          </w:tblCellMar>
        </w:tblPrEx>
        <w:trPr>
          <w:trHeight w:val="338"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友谊水库灌区</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平昌县</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5.1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6</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3000</w:t>
            </w:r>
          </w:p>
        </w:tc>
      </w:tr>
      <w:tr>
        <w:tblPrEx>
          <w:tblCellMar>
            <w:top w:w="0" w:type="dxa"/>
            <w:left w:w="108" w:type="dxa"/>
            <w:bottom w:w="0" w:type="dxa"/>
            <w:right w:w="108" w:type="dxa"/>
          </w:tblCellMar>
        </w:tblPrEx>
        <w:trPr>
          <w:trHeight w:val="332"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玉堂灌区</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南江县</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5.01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1.8</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81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2.25</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3.19</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5800</w:t>
            </w:r>
          </w:p>
        </w:tc>
      </w:tr>
      <w:tr>
        <w:tblPrEx>
          <w:tblCellMar>
            <w:top w:w="0" w:type="dxa"/>
            <w:left w:w="108" w:type="dxa"/>
            <w:bottom w:w="0" w:type="dxa"/>
            <w:right w:w="108" w:type="dxa"/>
          </w:tblCellMar>
        </w:tblPrEx>
        <w:trPr>
          <w:trHeight w:val="486"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牛角坑水库灌区</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平昌县</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7.17</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15</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 xml:space="preserve"> </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1.03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7000</w:t>
            </w:r>
          </w:p>
        </w:tc>
      </w:tr>
      <w:tr>
        <w:tblPrEx>
          <w:tblCellMar>
            <w:top w:w="0" w:type="dxa"/>
            <w:left w:w="108" w:type="dxa"/>
            <w:bottom w:w="0" w:type="dxa"/>
            <w:right w:w="108" w:type="dxa"/>
          </w:tblCellMar>
        </w:tblPrEx>
        <w:trPr>
          <w:trHeight w:val="398"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后溪沟水库</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巴州区</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1.21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10</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0.18</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0.41</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2500</w:t>
            </w:r>
          </w:p>
        </w:tc>
      </w:tr>
      <w:tr>
        <w:tblPrEx>
          <w:tblCellMar>
            <w:top w:w="0" w:type="dxa"/>
            <w:left w:w="108" w:type="dxa"/>
            <w:bottom w:w="0" w:type="dxa"/>
            <w:right w:w="108" w:type="dxa"/>
          </w:tblCellMar>
        </w:tblPrEx>
        <w:trPr>
          <w:trHeight w:val="479"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龙洞沟水库灌区</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巴州区</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2.43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6</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50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0.43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0.87</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1.11</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11131</w:t>
            </w:r>
          </w:p>
        </w:tc>
      </w:tr>
      <w:tr>
        <w:tblPrEx>
          <w:tblCellMar>
            <w:top w:w="0" w:type="dxa"/>
            <w:left w:w="108" w:type="dxa"/>
            <w:bottom w:w="0" w:type="dxa"/>
            <w:right w:w="108" w:type="dxa"/>
          </w:tblCellMar>
        </w:tblPrEx>
        <w:trPr>
          <w:trHeight w:val="381"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井坝灌区</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南江县</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 xml:space="preserve"> </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9.04</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0.36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0.54</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0.77</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1420</w:t>
            </w:r>
          </w:p>
        </w:tc>
      </w:tr>
      <w:tr>
        <w:tblPrEx>
          <w:tblCellMar>
            <w:top w:w="0" w:type="dxa"/>
            <w:left w:w="108" w:type="dxa"/>
            <w:bottom w:w="0" w:type="dxa"/>
            <w:right w:w="108" w:type="dxa"/>
          </w:tblCellMar>
        </w:tblPrEx>
        <w:trPr>
          <w:trHeight w:val="266"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杨家沟灌区</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南江县</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18</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0.39</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0.59</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0.83</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1934</w:t>
            </w:r>
          </w:p>
        </w:tc>
      </w:tr>
      <w:tr>
        <w:tblPrEx>
          <w:tblCellMar>
            <w:top w:w="0" w:type="dxa"/>
            <w:left w:w="108" w:type="dxa"/>
            <w:bottom w:w="0" w:type="dxa"/>
            <w:right w:w="108" w:type="dxa"/>
          </w:tblCellMar>
        </w:tblPrEx>
        <w:trPr>
          <w:trHeight w:val="43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大井坝水库灌区</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通江县</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15</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12</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0.38</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0.72</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0.94</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2424</w:t>
            </w:r>
          </w:p>
        </w:tc>
      </w:tr>
      <w:tr>
        <w:tblPrEx>
          <w:tblCellMar>
            <w:top w:w="0" w:type="dxa"/>
            <w:left w:w="108" w:type="dxa"/>
            <w:bottom w:w="0" w:type="dxa"/>
            <w:right w:w="108" w:type="dxa"/>
          </w:tblCellMar>
        </w:tblPrEx>
        <w:trPr>
          <w:trHeight w:val="381"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流里河水库灌区</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通江县</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10</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16</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0.25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0.95</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1.02</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1690</w:t>
            </w:r>
          </w:p>
        </w:tc>
      </w:tr>
      <w:tr>
        <w:tblPrEx>
          <w:tblCellMar>
            <w:top w:w="0" w:type="dxa"/>
            <w:left w:w="108" w:type="dxa"/>
            <w:bottom w:w="0" w:type="dxa"/>
            <w:right w:w="108" w:type="dxa"/>
          </w:tblCellMar>
        </w:tblPrEx>
        <w:trPr>
          <w:trHeight w:val="431"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七道河水库灌区</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通江县</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2.46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33</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1.96</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2.12</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3392</w:t>
            </w:r>
          </w:p>
        </w:tc>
      </w:tr>
      <w:tr>
        <w:tblPrEx>
          <w:tblCellMar>
            <w:top w:w="0" w:type="dxa"/>
            <w:left w:w="108" w:type="dxa"/>
            <w:bottom w:w="0" w:type="dxa"/>
            <w:right w:w="108" w:type="dxa"/>
          </w:tblCellMar>
        </w:tblPrEx>
        <w:trPr>
          <w:trHeight w:val="323"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小计</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1"/>
              <w:jc w:val="center"/>
              <w:textAlignment w:val="center"/>
              <w:rPr>
                <w:rFonts w:hint="default" w:ascii="Times New Roman" w:hAnsi="Times New Roman" w:cs="Times New Roman"/>
                <w:b/>
                <w:bCs/>
                <w:kern w:val="0"/>
                <w:sz w:val="16"/>
                <w:szCs w:val="16"/>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34.94</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141.8</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248.04</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7.15</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8.86</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12.78</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1"/>
              <w:jc w:val="center"/>
              <w:textAlignment w:val="center"/>
              <w:rPr>
                <w:rFonts w:hint="default" w:ascii="Times New Roman" w:hAnsi="Times New Roman" w:cs="Times New Roman"/>
                <w:b/>
                <w:bCs/>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56391</w:t>
            </w:r>
          </w:p>
        </w:tc>
      </w:tr>
      <w:tr>
        <w:tblPrEx>
          <w:tblCellMar>
            <w:top w:w="0" w:type="dxa"/>
            <w:left w:w="108" w:type="dxa"/>
            <w:bottom w:w="0" w:type="dxa"/>
            <w:right w:w="108" w:type="dxa"/>
          </w:tblCellMar>
        </w:tblPrEx>
        <w:trPr>
          <w:trHeight w:val="513" w:hRule="atLeast"/>
        </w:trPr>
        <w:tc>
          <w:tcPr>
            <w:tcW w:w="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b/>
                <w:bCs/>
                <w:kern w:val="0"/>
                <w:sz w:val="20"/>
                <w:szCs w:val="20"/>
                <w:lang w:bidi="ar"/>
              </w:rPr>
              <w:t>新建灌区</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红鱼洞水库灌区</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南江县</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40.96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159.5</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27.2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11.42</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20.89</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2021-</w:t>
            </w:r>
          </w:p>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2025年</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w:t>
            </w:r>
          </w:p>
        </w:tc>
      </w:tr>
      <w:tr>
        <w:tblPrEx>
          <w:tblCellMar>
            <w:top w:w="0" w:type="dxa"/>
            <w:left w:w="108" w:type="dxa"/>
            <w:bottom w:w="0" w:type="dxa"/>
            <w:right w:w="108" w:type="dxa"/>
          </w:tblCellMar>
        </w:tblPrEx>
        <w:trPr>
          <w:trHeight w:val="381"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青龙嘴水库灌区</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巴州区</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5.19</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157</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5.19</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3.2</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5.71</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2026-</w:t>
            </w:r>
          </w:p>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2035年</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10594</w:t>
            </w:r>
          </w:p>
        </w:tc>
      </w:tr>
      <w:tr>
        <w:tblPrEx>
          <w:tblCellMar>
            <w:top w:w="0" w:type="dxa"/>
            <w:left w:w="108" w:type="dxa"/>
            <w:bottom w:w="0" w:type="dxa"/>
            <w:right w:w="108" w:type="dxa"/>
          </w:tblCellMar>
        </w:tblPrEx>
        <w:trPr>
          <w:trHeight w:val="463"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干沟河水库灌区</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巴州区</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5.73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173</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5.73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3.1</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6</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29464</w:t>
            </w:r>
          </w:p>
        </w:tc>
      </w:tr>
      <w:tr>
        <w:tblPrEx>
          <w:tblCellMar>
            <w:top w:w="0" w:type="dxa"/>
            <w:left w:w="108" w:type="dxa"/>
            <w:bottom w:w="0" w:type="dxa"/>
            <w:right w:w="108" w:type="dxa"/>
          </w:tblCellMar>
        </w:tblPrEx>
        <w:trPr>
          <w:trHeight w:val="381"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双河水库灌区</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恩阳区</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6.06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125</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3.12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2.94</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4.12</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58744</w:t>
            </w:r>
          </w:p>
        </w:tc>
      </w:tr>
      <w:tr>
        <w:tblPrEx>
          <w:tblCellMar>
            <w:top w:w="0" w:type="dxa"/>
            <w:left w:w="108" w:type="dxa"/>
            <w:bottom w:w="0" w:type="dxa"/>
            <w:right w:w="108" w:type="dxa"/>
          </w:tblCellMar>
        </w:tblPrEx>
        <w:trPr>
          <w:trHeight w:val="431"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二郎庙水库灌区</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通江县</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10.05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173</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4.32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5.73</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6.83</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27066</w:t>
            </w:r>
          </w:p>
        </w:tc>
      </w:tr>
      <w:tr>
        <w:tblPrEx>
          <w:tblCellMar>
            <w:top w:w="0" w:type="dxa"/>
            <w:left w:w="108" w:type="dxa"/>
            <w:bottom w:w="0" w:type="dxa"/>
            <w:right w:w="108" w:type="dxa"/>
          </w:tblCellMar>
        </w:tblPrEx>
        <w:trPr>
          <w:trHeight w:val="512"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湾潭河水库灌区</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通江县</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6.97</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130</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3.25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3.72</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4.74</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20244</w:t>
            </w:r>
          </w:p>
        </w:tc>
      </w:tr>
      <w:tr>
        <w:tblPrEx>
          <w:tblCellMar>
            <w:top w:w="0" w:type="dxa"/>
            <w:left w:w="108" w:type="dxa"/>
            <w:bottom w:w="0" w:type="dxa"/>
            <w:right w:w="108" w:type="dxa"/>
          </w:tblCellMar>
        </w:tblPrEx>
        <w:trPr>
          <w:trHeight w:val="348"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芝子河灌区</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恩阳区</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3.7</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62</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36</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1.56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2.14</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2.52</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35867</w:t>
            </w:r>
          </w:p>
        </w:tc>
      </w:tr>
      <w:tr>
        <w:tblPrEx>
          <w:tblCellMar>
            <w:top w:w="0" w:type="dxa"/>
            <w:left w:w="108" w:type="dxa"/>
            <w:bottom w:w="0" w:type="dxa"/>
            <w:right w:w="108" w:type="dxa"/>
          </w:tblCellMar>
        </w:tblPrEx>
        <w:trPr>
          <w:trHeight w:val="446"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石门子水库灌区</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通江县</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1.31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31</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9</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0.77</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0.54</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0.89</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4728</w:t>
            </w:r>
          </w:p>
        </w:tc>
      </w:tr>
      <w:tr>
        <w:tblPrEx>
          <w:tblCellMar>
            <w:top w:w="0" w:type="dxa"/>
            <w:left w:w="108" w:type="dxa"/>
            <w:bottom w:w="0" w:type="dxa"/>
            <w:right w:w="108" w:type="dxa"/>
          </w:tblCellMar>
        </w:tblPrEx>
        <w:trPr>
          <w:trHeight w:val="398"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湾田河水库灌区</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通江县</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13</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4</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0.9</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1.3</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1.5</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3000</w:t>
            </w:r>
          </w:p>
        </w:tc>
      </w:tr>
      <w:tr>
        <w:tblPrEx>
          <w:tblCellMar>
            <w:top w:w="0" w:type="dxa"/>
            <w:left w:w="108" w:type="dxa"/>
            <w:bottom w:w="0" w:type="dxa"/>
            <w:right w:w="108" w:type="dxa"/>
          </w:tblCellMar>
        </w:tblPrEx>
        <w:trPr>
          <w:trHeight w:val="348"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沙溪沟水库</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通江县</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9</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0.26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0.09</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0.24</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2900</w:t>
            </w:r>
          </w:p>
        </w:tc>
      </w:tr>
      <w:tr>
        <w:tblPrEx>
          <w:tblCellMar>
            <w:top w:w="0" w:type="dxa"/>
            <w:left w:w="108" w:type="dxa"/>
            <w:bottom w:w="0" w:type="dxa"/>
            <w:right w:w="108" w:type="dxa"/>
          </w:tblCellMar>
        </w:tblPrEx>
        <w:trPr>
          <w:trHeight w:val="387"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澌溪沟水库</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通江县</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6</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0.21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0.06</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0.18</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0"/>
              <w:jc w:val="center"/>
              <w:textAlignment w:val="center"/>
              <w:rPr>
                <w:rFonts w:hint="default" w:ascii="Times New Roman" w:hAnsi="Times New Roman" w:cs="Times New Roman"/>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2100</w:t>
            </w:r>
          </w:p>
        </w:tc>
      </w:tr>
      <w:tr>
        <w:tblPrEx>
          <w:tblCellMar>
            <w:top w:w="0" w:type="dxa"/>
            <w:left w:w="108" w:type="dxa"/>
            <w:bottom w:w="0" w:type="dxa"/>
            <w:right w:w="108" w:type="dxa"/>
          </w:tblCellMar>
        </w:tblPrEx>
        <w:trPr>
          <w:trHeight w:val="323"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textAlignment w:val="center"/>
              <w:rPr>
                <w:rFonts w:hint="default" w:ascii="Times New Roman" w:hAnsi="Times New Roman" w:cs="Times New Roman"/>
                <w:kern w:val="0"/>
                <w:sz w:val="16"/>
                <w:szCs w:val="16"/>
                <w:lang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小计</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1"/>
              <w:jc w:val="center"/>
              <w:textAlignment w:val="center"/>
              <w:rPr>
                <w:rFonts w:hint="default" w:ascii="Times New Roman" w:hAnsi="Times New Roman" w:cs="Times New Roman"/>
                <w:b/>
                <w:bCs/>
                <w:kern w:val="0"/>
                <w:sz w:val="16"/>
                <w:szCs w:val="16"/>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83.57</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1038.5</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49</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52.51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34.24</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53.62</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321"/>
              <w:jc w:val="center"/>
              <w:textAlignment w:val="center"/>
              <w:rPr>
                <w:rFonts w:hint="default" w:ascii="Times New Roman" w:hAnsi="Times New Roman" w:cs="Times New Roman"/>
                <w:b/>
                <w:bCs/>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194707</w:t>
            </w:r>
          </w:p>
        </w:tc>
      </w:tr>
      <w:tr>
        <w:tblPrEx>
          <w:tblCellMar>
            <w:top w:w="0" w:type="dxa"/>
            <w:left w:w="108" w:type="dxa"/>
            <w:bottom w:w="0" w:type="dxa"/>
            <w:right w:w="108" w:type="dxa"/>
          </w:tblCellMar>
        </w:tblPrEx>
        <w:trPr>
          <w:trHeight w:val="333" w:hRule="atLeast"/>
        </w:trPr>
        <w:tc>
          <w:tcPr>
            <w:tcW w:w="2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合 计</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321"/>
              <w:jc w:val="center"/>
              <w:textAlignment w:val="center"/>
              <w:rPr>
                <w:rFonts w:hint="default" w:ascii="Times New Roman" w:hAnsi="Times New Roman" w:cs="Times New Roman"/>
                <w:b/>
                <w:bCs/>
                <w:kern w:val="0"/>
                <w:sz w:val="16"/>
                <w:szCs w:val="16"/>
                <w:lang w:bidi="ar"/>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118.51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1180.3</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297.04</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59.66</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43.1</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66.4</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321"/>
              <w:jc w:val="center"/>
              <w:textAlignment w:val="center"/>
              <w:rPr>
                <w:rFonts w:hint="default" w:ascii="Times New Roman" w:hAnsi="Times New Roman" w:cs="Times New Roman"/>
                <w:b/>
                <w:bCs/>
                <w:kern w:val="0"/>
                <w:sz w:val="16"/>
                <w:szCs w:val="16"/>
                <w:lang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251098</w:t>
            </w:r>
          </w:p>
        </w:tc>
      </w:tr>
    </w:tbl>
    <w:p>
      <w:pPr>
        <w:pStyle w:val="24"/>
        <w:spacing w:line="360" w:lineRule="auto"/>
        <w:rPr>
          <w:rFonts w:hint="default" w:ascii="Times New Roman" w:hAnsi="Times New Roman" w:eastAsia="黑体" w:cs="Times New Roman"/>
          <w:b w:val="0"/>
          <w:bCs/>
          <w:w w:val="90"/>
          <w:sz w:val="21"/>
          <w:szCs w:val="21"/>
        </w:rPr>
      </w:pPr>
      <w:r>
        <w:rPr>
          <w:rFonts w:hint="default" w:ascii="Times New Roman" w:hAnsi="Times New Roman" w:eastAsia="黑体" w:cs="Times New Roman"/>
          <w:b w:val="0"/>
          <w:bCs/>
          <w:w w:val="90"/>
          <w:sz w:val="21"/>
          <w:szCs w:val="21"/>
        </w:rPr>
        <w:t>* 数据来源：《巴中市“十四五”水安全保障规划》、《巴中市水资源综合规划》及各区县水利局</w:t>
      </w:r>
    </w:p>
    <w:p>
      <w:pPr>
        <w:pStyle w:val="36"/>
        <w:spacing w:line="360" w:lineRule="auto"/>
        <w:ind w:firstLine="562"/>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——小型灌区续建配套与节水改造</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开展已成小型灌区续建配套与节水改造工程，增加节水灌溉面积，提升灌溉水利用效率。开展全市263座小型水库灌区渠系配套与节水改造，新增有效灌溉面积4.76万亩，其中节水灌溉面积3.81万亩。</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托小型水源新建及改扩建工程，配套灌区渠系工程，形成新增及改善灌溉面积。依托37座小型水库的建设，实现新增灌溉面积15.03万亩，其中节水灌溉面积11.31万亩；依托10座提水工程和新建蓄水窖池4420处，实现新增灌溉面积0.61万亩，改善及补充1.27万亩。</w:t>
      </w:r>
    </w:p>
    <w:p>
      <w:pPr>
        <w:pStyle w:val="32"/>
        <w:ind w:firstLine="0" w:firstLineChars="0"/>
        <w:jc w:val="center"/>
        <w:rPr>
          <w:rFonts w:hint="default" w:ascii="Times New Roman" w:hAnsi="Times New Roman" w:eastAsia="黑体" w:cs="Times New Roman"/>
          <w:b w:val="0"/>
          <w:sz w:val="24"/>
          <w:szCs w:val="24"/>
        </w:rPr>
      </w:pPr>
      <w:r>
        <w:rPr>
          <w:rFonts w:hint="default" w:ascii="Times New Roman" w:hAnsi="Times New Roman" w:eastAsia="黑体" w:cs="Times New Roman"/>
          <w:b w:val="0"/>
          <w:sz w:val="24"/>
          <w:szCs w:val="24"/>
        </w:rPr>
        <w:t>表5.3 小型灌区续建配套与节水改造规划重点工程</w:t>
      </w:r>
    </w:p>
    <w:tbl>
      <w:tblPr>
        <w:tblStyle w:val="18"/>
        <w:tblW w:w="8940" w:type="dxa"/>
        <w:tblInd w:w="0" w:type="dxa"/>
        <w:tblLayout w:type="fixed"/>
        <w:tblCellMar>
          <w:top w:w="0" w:type="dxa"/>
          <w:left w:w="108" w:type="dxa"/>
          <w:bottom w:w="0" w:type="dxa"/>
          <w:right w:w="108" w:type="dxa"/>
        </w:tblCellMar>
      </w:tblPr>
      <w:tblGrid>
        <w:gridCol w:w="629"/>
        <w:gridCol w:w="1155"/>
        <w:gridCol w:w="890"/>
        <w:gridCol w:w="890"/>
        <w:gridCol w:w="892"/>
        <w:gridCol w:w="892"/>
        <w:gridCol w:w="892"/>
        <w:gridCol w:w="1100"/>
        <w:gridCol w:w="704"/>
        <w:gridCol w:w="896"/>
      </w:tblGrid>
      <w:tr>
        <w:tblPrEx>
          <w:tblCellMar>
            <w:top w:w="0" w:type="dxa"/>
            <w:left w:w="108" w:type="dxa"/>
            <w:bottom w:w="0" w:type="dxa"/>
            <w:right w:w="108" w:type="dxa"/>
          </w:tblCellMar>
        </w:tblPrEx>
        <w:trPr>
          <w:trHeight w:val="63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黑体" w:cs="Times New Roman"/>
                <w:sz w:val="16"/>
                <w:szCs w:val="16"/>
              </w:rPr>
            </w:pPr>
            <w:r>
              <w:rPr>
                <w:rStyle w:val="37"/>
                <w:rFonts w:hint="default" w:ascii="Times New Roman" w:hAnsi="Times New Roman" w:eastAsia="黑体" w:cs="Times New Roman"/>
                <w:color w:val="auto"/>
                <w:lang w:bidi="ar"/>
              </w:rPr>
              <w:t>类型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黑体" w:cs="Times New Roman"/>
                <w:sz w:val="16"/>
                <w:szCs w:val="16"/>
              </w:rPr>
            </w:pPr>
            <w:r>
              <w:rPr>
                <w:rStyle w:val="37"/>
                <w:rFonts w:hint="default" w:ascii="Times New Roman" w:hAnsi="Times New Roman" w:eastAsia="黑体" w:cs="Times New Roman"/>
                <w:color w:val="auto"/>
                <w:lang w:bidi="ar"/>
              </w:rPr>
              <w:t>县级行政区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黑体" w:cs="Times New Roman"/>
                <w:sz w:val="16"/>
                <w:szCs w:val="16"/>
              </w:rPr>
            </w:pPr>
            <w:r>
              <w:rPr>
                <w:rStyle w:val="37"/>
                <w:rFonts w:hint="default" w:ascii="Times New Roman" w:hAnsi="Times New Roman" w:eastAsia="黑体" w:cs="Times New Roman"/>
                <w:color w:val="auto"/>
                <w:lang w:bidi="ar"/>
              </w:rPr>
              <w:t>小型灌区处数</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黑体" w:cs="Times New Roman"/>
                <w:sz w:val="16"/>
                <w:szCs w:val="16"/>
              </w:rPr>
            </w:pPr>
            <w:r>
              <w:rPr>
                <w:rStyle w:val="37"/>
                <w:rFonts w:hint="default" w:ascii="Times New Roman" w:hAnsi="Times New Roman" w:eastAsia="黑体" w:cs="Times New Roman"/>
                <w:color w:val="auto"/>
                <w:lang w:bidi="ar"/>
              </w:rPr>
              <w:t>设计灌面（万亩）</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Style w:val="37"/>
                <w:rFonts w:hint="default" w:ascii="Times New Roman" w:hAnsi="Times New Roman" w:eastAsia="黑体" w:cs="Times New Roman"/>
                <w:color w:val="auto"/>
                <w:lang w:bidi="ar"/>
              </w:rPr>
            </w:pPr>
            <w:r>
              <w:rPr>
                <w:rStyle w:val="37"/>
                <w:rFonts w:hint="default" w:ascii="Times New Roman" w:hAnsi="Times New Roman" w:eastAsia="黑体" w:cs="Times New Roman"/>
                <w:color w:val="auto"/>
                <w:lang w:bidi="ar"/>
              </w:rPr>
              <w:t>现状有效灌面</w:t>
            </w:r>
          </w:p>
          <w:p>
            <w:pPr>
              <w:widowControl/>
              <w:spacing w:line="240" w:lineRule="auto"/>
              <w:ind w:firstLine="0" w:firstLineChars="0"/>
              <w:jc w:val="center"/>
              <w:textAlignment w:val="center"/>
              <w:rPr>
                <w:rFonts w:hint="default" w:ascii="Times New Roman" w:hAnsi="Times New Roman" w:eastAsia="黑体" w:cs="Times New Roman"/>
                <w:sz w:val="16"/>
                <w:szCs w:val="16"/>
              </w:rPr>
            </w:pPr>
            <w:r>
              <w:rPr>
                <w:rStyle w:val="37"/>
                <w:rFonts w:hint="default" w:ascii="Times New Roman" w:hAnsi="Times New Roman" w:eastAsia="黑体" w:cs="Times New Roman"/>
                <w:color w:val="auto"/>
                <w:lang w:bidi="ar"/>
              </w:rPr>
              <w:t>（万亩）</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黑体" w:cs="Times New Roman"/>
                <w:sz w:val="16"/>
                <w:szCs w:val="16"/>
              </w:rPr>
            </w:pPr>
            <w:r>
              <w:rPr>
                <w:rStyle w:val="37"/>
                <w:rFonts w:hint="default" w:ascii="Times New Roman" w:hAnsi="Times New Roman" w:eastAsia="黑体" w:cs="Times New Roman"/>
                <w:color w:val="auto"/>
                <w:lang w:bidi="ar"/>
              </w:rPr>
              <w:t>新增灌面（万亩）</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黑体" w:cs="Times New Roman"/>
                <w:sz w:val="16"/>
                <w:szCs w:val="16"/>
              </w:rPr>
            </w:pPr>
            <w:r>
              <w:rPr>
                <w:rStyle w:val="37"/>
                <w:rFonts w:hint="default" w:ascii="Times New Roman" w:hAnsi="Times New Roman" w:eastAsia="黑体" w:cs="Times New Roman"/>
                <w:color w:val="auto"/>
                <w:lang w:bidi="ar"/>
              </w:rPr>
              <w:t>其中新增节水灌面（万亩）</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Style w:val="37"/>
                <w:rFonts w:hint="default" w:ascii="Times New Roman" w:hAnsi="Times New Roman" w:eastAsia="黑体" w:cs="Times New Roman"/>
                <w:color w:val="auto"/>
                <w:lang w:bidi="ar"/>
              </w:rPr>
            </w:pPr>
            <w:r>
              <w:rPr>
                <w:rStyle w:val="37"/>
                <w:rFonts w:hint="default" w:ascii="Times New Roman" w:hAnsi="Times New Roman" w:eastAsia="黑体" w:cs="Times New Roman"/>
                <w:color w:val="auto"/>
                <w:lang w:bidi="ar"/>
              </w:rPr>
              <w:t>新增和恢复供水能力</w:t>
            </w:r>
          </w:p>
          <w:p>
            <w:pPr>
              <w:widowControl/>
              <w:spacing w:line="240" w:lineRule="auto"/>
              <w:ind w:firstLine="0" w:firstLineChars="0"/>
              <w:jc w:val="center"/>
              <w:textAlignment w:val="center"/>
              <w:rPr>
                <w:rFonts w:hint="default" w:ascii="Times New Roman" w:hAnsi="Times New Roman" w:eastAsia="黑体" w:cs="Times New Roman"/>
                <w:sz w:val="16"/>
                <w:szCs w:val="16"/>
              </w:rPr>
            </w:pPr>
            <w:r>
              <w:rPr>
                <w:rStyle w:val="37"/>
                <w:rFonts w:hint="default" w:ascii="Times New Roman" w:hAnsi="Times New Roman" w:eastAsia="黑体" w:cs="Times New Roman"/>
                <w:color w:val="auto"/>
                <w:lang w:bidi="ar"/>
              </w:rPr>
              <w:t>（万</w:t>
            </w:r>
            <w:r>
              <w:rPr>
                <w:rFonts w:hint="default" w:ascii="Times New Roman" w:hAnsi="Times New Roman" w:eastAsia="黑体" w:cs="Times New Roman"/>
                <w:kern w:val="0"/>
                <w:sz w:val="16"/>
                <w:szCs w:val="16"/>
                <w:lang w:bidi="ar"/>
              </w:rPr>
              <w:t>m</w:t>
            </w:r>
            <w:r>
              <w:rPr>
                <w:rFonts w:hint="default" w:ascii="Times New Roman" w:hAnsi="Times New Roman" w:eastAsia="黑体" w:cs="Times New Roman"/>
                <w:kern w:val="0"/>
                <w:sz w:val="16"/>
                <w:szCs w:val="16"/>
                <w:vertAlign w:val="superscript"/>
                <w:lang w:bidi="ar"/>
              </w:rPr>
              <w:t>3</w:t>
            </w:r>
            <w:r>
              <w:rPr>
                <w:rStyle w:val="37"/>
                <w:rFonts w:hint="default" w:ascii="Times New Roman" w:hAnsi="Times New Roman" w:eastAsia="黑体" w:cs="Times New Roman"/>
                <w:color w:val="auto"/>
                <w:lang w:bidi="ar"/>
              </w:rPr>
              <w:t>）</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Style w:val="37"/>
                <w:rFonts w:hint="default" w:ascii="Times New Roman" w:hAnsi="Times New Roman" w:eastAsia="黑体" w:cs="Times New Roman"/>
                <w:color w:val="auto"/>
                <w:lang w:bidi="ar"/>
              </w:rPr>
            </w:pPr>
            <w:r>
              <w:rPr>
                <w:rStyle w:val="37"/>
                <w:rFonts w:hint="default" w:ascii="Times New Roman" w:hAnsi="Times New Roman" w:eastAsia="黑体" w:cs="Times New Roman"/>
                <w:color w:val="auto"/>
                <w:lang w:bidi="ar"/>
              </w:rPr>
              <w:t>实施</w:t>
            </w:r>
          </w:p>
          <w:p>
            <w:pPr>
              <w:widowControl/>
              <w:spacing w:line="240" w:lineRule="auto"/>
              <w:ind w:firstLine="0" w:firstLineChars="0"/>
              <w:jc w:val="center"/>
              <w:textAlignment w:val="center"/>
              <w:rPr>
                <w:rFonts w:hint="default" w:ascii="Times New Roman" w:hAnsi="Times New Roman" w:eastAsia="黑体" w:cs="Times New Roman"/>
                <w:sz w:val="16"/>
                <w:szCs w:val="16"/>
              </w:rPr>
            </w:pPr>
            <w:r>
              <w:rPr>
                <w:rStyle w:val="37"/>
                <w:rFonts w:hint="default" w:ascii="Times New Roman" w:hAnsi="Times New Roman" w:eastAsia="黑体" w:cs="Times New Roman"/>
                <w:color w:val="auto"/>
                <w:lang w:bidi="ar"/>
              </w:rPr>
              <w:t>年限</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黑体" w:cs="Times New Roman"/>
                <w:sz w:val="16"/>
                <w:szCs w:val="16"/>
              </w:rPr>
            </w:pPr>
            <w:r>
              <w:rPr>
                <w:rStyle w:val="37"/>
                <w:rFonts w:hint="default" w:ascii="Times New Roman" w:hAnsi="Times New Roman" w:eastAsia="黑体" w:cs="Times New Roman"/>
                <w:color w:val="auto"/>
                <w:lang w:bidi="ar"/>
              </w:rPr>
              <w:t>工程投资（亿元）</w:t>
            </w:r>
          </w:p>
        </w:tc>
      </w:tr>
      <w:tr>
        <w:tblPrEx>
          <w:tblCellMar>
            <w:top w:w="0" w:type="dxa"/>
            <w:left w:w="108" w:type="dxa"/>
            <w:bottom w:w="0" w:type="dxa"/>
            <w:right w:w="108" w:type="dxa"/>
          </w:tblCellMar>
        </w:tblPrEx>
        <w:trPr>
          <w:trHeight w:val="280" w:hRule="atLeast"/>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Style w:val="37"/>
                <w:rFonts w:hint="default" w:ascii="Times New Roman" w:hAnsi="Times New Roman" w:cs="Times New Roman"/>
                <w:color w:val="auto"/>
                <w:lang w:bidi="ar"/>
              </w:rPr>
              <w:t>已成灌区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Style w:val="37"/>
                <w:rFonts w:hint="default" w:ascii="Times New Roman" w:hAnsi="Times New Roman" w:cs="Times New Roman"/>
                <w:color w:val="auto"/>
                <w:lang w:bidi="ar"/>
              </w:rPr>
              <w:t>巴州区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29</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2.856</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1.93</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0.93</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0.74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111</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6"/>
                <w:szCs w:val="16"/>
                <w:lang w:bidi="ar"/>
              </w:rPr>
            </w:pPr>
            <w:r>
              <w:rPr>
                <w:rFonts w:hint="default" w:ascii="Times New Roman" w:hAnsi="Times New Roman" w:eastAsia="宋体" w:cs="Times New Roman"/>
                <w:kern w:val="0"/>
                <w:sz w:val="16"/>
                <w:szCs w:val="16"/>
                <w:lang w:bidi="ar"/>
              </w:rPr>
              <w:t>2021-</w:t>
            </w:r>
          </w:p>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2025</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0.2</w:t>
            </w:r>
          </w:p>
        </w:tc>
      </w:tr>
      <w:tr>
        <w:tblPrEx>
          <w:tblCellMar>
            <w:top w:w="0" w:type="dxa"/>
            <w:left w:w="108" w:type="dxa"/>
            <w:bottom w:w="0" w:type="dxa"/>
            <w:right w:w="108" w:type="dxa"/>
          </w:tblCellMar>
        </w:tblPrEx>
        <w:trPr>
          <w:trHeight w:val="28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Style w:val="37"/>
                <w:rFonts w:hint="default" w:ascii="Times New Roman" w:hAnsi="Times New Roman" w:cs="Times New Roman"/>
                <w:color w:val="auto"/>
                <w:lang w:bidi="ar"/>
              </w:rPr>
              <w:t>恩阳区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54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3.954</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2.9</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1.05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0.84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126</w:t>
            </w: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0.36</w:t>
            </w:r>
          </w:p>
        </w:tc>
      </w:tr>
      <w:tr>
        <w:tblPrEx>
          <w:tblCellMar>
            <w:top w:w="0" w:type="dxa"/>
            <w:left w:w="108" w:type="dxa"/>
            <w:bottom w:w="0" w:type="dxa"/>
            <w:right w:w="108" w:type="dxa"/>
          </w:tblCellMar>
        </w:tblPrEx>
        <w:trPr>
          <w:trHeight w:val="28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南江县</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47</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1.9</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1.02</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0.88</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0.7</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106</w:t>
            </w: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0.5</w:t>
            </w:r>
          </w:p>
        </w:tc>
      </w:tr>
      <w:tr>
        <w:tblPrEx>
          <w:tblCellMar>
            <w:top w:w="0" w:type="dxa"/>
            <w:left w:w="108" w:type="dxa"/>
            <w:bottom w:w="0" w:type="dxa"/>
            <w:right w:w="108" w:type="dxa"/>
          </w:tblCellMar>
        </w:tblPrEx>
        <w:trPr>
          <w:trHeight w:val="28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Style w:val="37"/>
                <w:rFonts w:hint="default" w:ascii="Times New Roman" w:hAnsi="Times New Roman" w:cs="Times New Roman"/>
                <w:color w:val="auto"/>
                <w:lang w:bidi="ar"/>
              </w:rPr>
              <w:t>通江县</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69</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5.64</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4.25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1.4</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1.12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168</w:t>
            </w: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0.3</w:t>
            </w:r>
          </w:p>
        </w:tc>
      </w:tr>
      <w:tr>
        <w:tblPrEx>
          <w:tblCellMar>
            <w:top w:w="0" w:type="dxa"/>
            <w:left w:w="108" w:type="dxa"/>
            <w:bottom w:w="0" w:type="dxa"/>
            <w:right w:w="108" w:type="dxa"/>
          </w:tblCellMar>
        </w:tblPrEx>
        <w:trPr>
          <w:trHeight w:val="28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Style w:val="37"/>
                <w:rFonts w:hint="default" w:ascii="Times New Roman" w:hAnsi="Times New Roman" w:cs="Times New Roman"/>
                <w:color w:val="auto"/>
                <w:lang w:bidi="ar"/>
              </w:rPr>
              <w:t>平昌县</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64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3.38</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2.88</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0.5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0.4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60</w:t>
            </w: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0.11</w:t>
            </w:r>
          </w:p>
        </w:tc>
      </w:tr>
      <w:tr>
        <w:tblPrEx>
          <w:tblCellMar>
            <w:top w:w="0" w:type="dxa"/>
            <w:left w:w="108" w:type="dxa"/>
            <w:bottom w:w="0" w:type="dxa"/>
            <w:right w:w="108" w:type="dxa"/>
          </w:tblCellMar>
        </w:tblPrEx>
        <w:trPr>
          <w:trHeight w:val="31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16"/>
                <w:szCs w:val="16"/>
              </w:rPr>
            </w:pPr>
            <w:r>
              <w:rPr>
                <w:rStyle w:val="38"/>
                <w:rFonts w:hint="default" w:ascii="Times New Roman" w:hAnsi="Times New Roman" w:cs="Times New Roman"/>
                <w:color w:val="auto"/>
                <w:lang w:bidi="ar"/>
              </w:rPr>
              <w:t>小计</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16"/>
                <w:szCs w:val="16"/>
              </w:rPr>
            </w:pPr>
            <w:r>
              <w:rPr>
                <w:rFonts w:hint="default" w:ascii="Times New Roman" w:hAnsi="Times New Roman" w:eastAsia="宋体" w:cs="Times New Roman"/>
                <w:b/>
                <w:bCs/>
                <w:kern w:val="0"/>
                <w:sz w:val="16"/>
                <w:szCs w:val="16"/>
                <w:lang w:bidi="ar"/>
              </w:rPr>
              <w:t>263</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16"/>
                <w:szCs w:val="16"/>
              </w:rPr>
            </w:pPr>
            <w:r>
              <w:rPr>
                <w:rFonts w:hint="default" w:ascii="Times New Roman" w:hAnsi="Times New Roman" w:eastAsia="宋体" w:cs="Times New Roman"/>
                <w:b/>
                <w:bCs/>
                <w:kern w:val="0"/>
                <w:sz w:val="16"/>
                <w:szCs w:val="16"/>
                <w:lang w:bidi="ar"/>
              </w:rPr>
              <w:t>17.73</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16"/>
                <w:szCs w:val="16"/>
              </w:rPr>
            </w:pPr>
            <w:r>
              <w:rPr>
                <w:rFonts w:hint="default" w:ascii="Times New Roman" w:hAnsi="Times New Roman" w:eastAsia="宋体" w:cs="Times New Roman"/>
                <w:b/>
                <w:bCs/>
                <w:kern w:val="0"/>
                <w:sz w:val="16"/>
                <w:szCs w:val="16"/>
                <w:lang w:bidi="ar"/>
              </w:rPr>
              <w:t>12.98</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16"/>
                <w:szCs w:val="16"/>
              </w:rPr>
            </w:pPr>
            <w:r>
              <w:rPr>
                <w:rFonts w:hint="default" w:ascii="Times New Roman" w:hAnsi="Times New Roman" w:eastAsia="宋体" w:cs="Times New Roman"/>
                <w:b/>
                <w:bCs/>
                <w:kern w:val="0"/>
                <w:sz w:val="16"/>
                <w:szCs w:val="16"/>
                <w:lang w:bidi="ar"/>
              </w:rPr>
              <w:t>4.76</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16"/>
                <w:szCs w:val="16"/>
              </w:rPr>
            </w:pPr>
            <w:r>
              <w:rPr>
                <w:rFonts w:hint="default" w:ascii="Times New Roman" w:hAnsi="Times New Roman" w:eastAsia="宋体" w:cs="Times New Roman"/>
                <w:b/>
                <w:bCs/>
                <w:kern w:val="0"/>
                <w:sz w:val="16"/>
                <w:szCs w:val="16"/>
                <w:lang w:bidi="ar"/>
              </w:rPr>
              <w:t>3.8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16"/>
                <w:szCs w:val="16"/>
              </w:rPr>
            </w:pPr>
            <w:r>
              <w:rPr>
                <w:rFonts w:hint="default" w:ascii="Times New Roman" w:hAnsi="Times New Roman" w:eastAsia="宋体" w:cs="Times New Roman"/>
                <w:b/>
                <w:bCs/>
                <w:kern w:val="0"/>
                <w:sz w:val="16"/>
                <w:szCs w:val="16"/>
                <w:lang w:bidi="ar"/>
              </w:rPr>
              <w:t>571</w:t>
            </w: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sz w:val="16"/>
                <w:szCs w:val="16"/>
              </w:rPr>
            </w:pPr>
            <w:r>
              <w:rPr>
                <w:rFonts w:hint="default" w:ascii="Times New Roman" w:hAnsi="Times New Roman" w:eastAsia="宋体" w:cs="Times New Roman"/>
                <w:b/>
                <w:bCs/>
                <w:kern w:val="0"/>
                <w:sz w:val="16"/>
                <w:szCs w:val="16"/>
                <w:lang w:bidi="ar"/>
              </w:rPr>
              <w:t>1.47</w:t>
            </w:r>
          </w:p>
        </w:tc>
      </w:tr>
      <w:tr>
        <w:tblPrEx>
          <w:tblCellMar>
            <w:top w:w="0" w:type="dxa"/>
            <w:left w:w="108" w:type="dxa"/>
            <w:bottom w:w="0" w:type="dxa"/>
            <w:right w:w="108" w:type="dxa"/>
          </w:tblCellMar>
        </w:tblPrEx>
        <w:trPr>
          <w:trHeight w:val="280" w:hRule="atLeast"/>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Style w:val="37"/>
                <w:rFonts w:hint="default" w:ascii="Times New Roman" w:hAnsi="Times New Roman" w:cs="Times New Roman"/>
                <w:color w:val="auto"/>
                <w:lang w:bidi="ar"/>
              </w:rPr>
              <w:t>新建灌区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Style w:val="37"/>
                <w:rFonts w:hint="default" w:ascii="Times New Roman" w:hAnsi="Times New Roman" w:cs="Times New Roman"/>
                <w:color w:val="auto"/>
                <w:lang w:bidi="ar"/>
              </w:rPr>
              <w:t>巴州区</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9</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2.84</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4.43</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3.32</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1093</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6"/>
                <w:szCs w:val="16"/>
                <w:lang w:bidi="ar"/>
              </w:rPr>
            </w:pPr>
            <w:r>
              <w:rPr>
                <w:rFonts w:hint="default" w:ascii="Times New Roman" w:hAnsi="Times New Roman" w:eastAsia="宋体" w:cs="Times New Roman"/>
                <w:kern w:val="0"/>
                <w:sz w:val="16"/>
                <w:szCs w:val="16"/>
                <w:lang w:bidi="ar"/>
              </w:rPr>
              <w:t>2026-</w:t>
            </w:r>
          </w:p>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2035</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14.2</w:t>
            </w:r>
          </w:p>
        </w:tc>
      </w:tr>
      <w:tr>
        <w:tblPrEx>
          <w:tblCellMar>
            <w:top w:w="0" w:type="dxa"/>
            <w:left w:w="108" w:type="dxa"/>
            <w:bottom w:w="0" w:type="dxa"/>
            <w:right w:w="108" w:type="dxa"/>
          </w:tblCellMar>
        </w:tblPrEx>
        <w:trPr>
          <w:trHeight w:val="28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Style w:val="37"/>
                <w:rFonts w:hint="default" w:ascii="Times New Roman" w:hAnsi="Times New Roman" w:cs="Times New Roman"/>
                <w:color w:val="auto"/>
                <w:lang w:bidi="ar"/>
              </w:rPr>
              <w:t>恩阳区</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5</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2.35</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2.45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1.87</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817</w:t>
            </w: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8.53</w:t>
            </w:r>
          </w:p>
        </w:tc>
      </w:tr>
      <w:tr>
        <w:tblPrEx>
          <w:tblCellMar>
            <w:top w:w="0" w:type="dxa"/>
            <w:left w:w="108" w:type="dxa"/>
            <w:bottom w:w="0" w:type="dxa"/>
            <w:right w:w="108" w:type="dxa"/>
          </w:tblCellMar>
        </w:tblPrEx>
        <w:trPr>
          <w:trHeight w:val="28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南江县</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7</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2.06</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2.58</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1.94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770</w:t>
            </w: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10</w:t>
            </w:r>
          </w:p>
        </w:tc>
      </w:tr>
      <w:tr>
        <w:tblPrEx>
          <w:tblCellMar>
            <w:top w:w="0" w:type="dxa"/>
            <w:left w:w="108" w:type="dxa"/>
            <w:bottom w:w="0" w:type="dxa"/>
            <w:right w:w="108" w:type="dxa"/>
          </w:tblCellMar>
        </w:tblPrEx>
        <w:trPr>
          <w:trHeight w:val="28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Style w:val="37"/>
                <w:rFonts w:hint="default" w:ascii="Times New Roman" w:hAnsi="Times New Roman" w:cs="Times New Roman"/>
                <w:color w:val="auto"/>
                <w:lang w:bidi="ar"/>
              </w:rPr>
              <w:t>通江县</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10</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1.36</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2.14</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1.61</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419</w:t>
            </w: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6.12</w:t>
            </w:r>
          </w:p>
        </w:tc>
      </w:tr>
      <w:tr>
        <w:tblPrEx>
          <w:tblCellMar>
            <w:top w:w="0" w:type="dxa"/>
            <w:left w:w="108" w:type="dxa"/>
            <w:bottom w:w="0" w:type="dxa"/>
            <w:right w:w="108" w:type="dxa"/>
          </w:tblCellMar>
        </w:tblPrEx>
        <w:trPr>
          <w:trHeight w:val="28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Style w:val="37"/>
                <w:rFonts w:hint="default" w:ascii="Times New Roman" w:hAnsi="Times New Roman" w:cs="Times New Roman"/>
                <w:color w:val="auto"/>
                <w:lang w:bidi="ar"/>
              </w:rPr>
              <w:t>平昌县</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6</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2.2</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3.43</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2.57</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559</w:t>
            </w: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6.76</w:t>
            </w:r>
          </w:p>
        </w:tc>
      </w:tr>
      <w:tr>
        <w:tblPrEx>
          <w:tblCellMar>
            <w:top w:w="0" w:type="dxa"/>
            <w:left w:w="108" w:type="dxa"/>
            <w:bottom w:w="0" w:type="dxa"/>
            <w:right w:w="108" w:type="dxa"/>
          </w:tblCellMar>
        </w:tblPrEx>
        <w:trPr>
          <w:trHeight w:val="31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Style w:val="37"/>
                <w:rFonts w:hint="default" w:ascii="Times New Roman" w:hAnsi="Times New Roman" w:cs="Times New Roman"/>
                <w:color w:val="auto"/>
                <w:lang w:bidi="ar"/>
              </w:rPr>
              <w:t>小计</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37</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10.81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15.03</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11.31</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3658</w:t>
            </w: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320"/>
              <w:jc w:val="center"/>
              <w:rPr>
                <w:rFonts w:hint="default" w:ascii="Times New Roman" w:hAnsi="Times New Roman" w:eastAsia="宋体" w:cs="Times New Roman"/>
                <w:sz w:val="16"/>
                <w:szCs w:val="16"/>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sz w:val="16"/>
                <w:szCs w:val="16"/>
              </w:rPr>
            </w:pPr>
            <w:r>
              <w:rPr>
                <w:rFonts w:hint="default" w:ascii="Times New Roman" w:hAnsi="Times New Roman" w:eastAsia="宋体" w:cs="Times New Roman"/>
                <w:kern w:val="0"/>
                <w:sz w:val="16"/>
                <w:szCs w:val="16"/>
                <w:lang w:bidi="ar"/>
              </w:rPr>
              <w:t>45.61</w:t>
            </w:r>
          </w:p>
        </w:tc>
      </w:tr>
      <w:tr>
        <w:tblPrEx>
          <w:tblCellMar>
            <w:top w:w="0" w:type="dxa"/>
            <w:left w:w="108" w:type="dxa"/>
            <w:bottom w:w="0" w:type="dxa"/>
            <w:right w:w="108" w:type="dxa"/>
          </w:tblCellMar>
        </w:tblPrEx>
        <w:trPr>
          <w:trHeight w:val="280" w:hRule="atLeast"/>
        </w:trPr>
        <w:tc>
          <w:tcPr>
            <w:tcW w:w="17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sz w:val="16"/>
                <w:szCs w:val="16"/>
              </w:rPr>
            </w:pPr>
            <w:r>
              <w:rPr>
                <w:rStyle w:val="38"/>
                <w:rFonts w:hint="default" w:ascii="Times New Roman" w:hAnsi="Times New Roman" w:cs="Times New Roman"/>
                <w:color w:val="auto"/>
                <w:lang w:bidi="ar"/>
              </w:rPr>
              <w:t>合计</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sz w:val="16"/>
                <w:szCs w:val="16"/>
              </w:rPr>
            </w:pPr>
            <w:r>
              <w:rPr>
                <w:rFonts w:hint="default" w:ascii="Times New Roman" w:hAnsi="Times New Roman" w:eastAsia="宋体" w:cs="Times New Roman"/>
                <w:b/>
                <w:bCs/>
                <w:kern w:val="0"/>
                <w:sz w:val="16"/>
                <w:szCs w:val="16"/>
                <w:lang w:bidi="ar"/>
              </w:rPr>
              <w:t>300</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sz w:val="16"/>
                <w:szCs w:val="16"/>
              </w:rPr>
            </w:pPr>
            <w:r>
              <w:rPr>
                <w:rFonts w:hint="default" w:ascii="Times New Roman" w:hAnsi="Times New Roman" w:eastAsia="宋体" w:cs="Times New Roman"/>
                <w:b/>
                <w:bCs/>
                <w:kern w:val="0"/>
                <w:sz w:val="16"/>
                <w:szCs w:val="16"/>
                <w:lang w:bidi="ar"/>
              </w:rPr>
              <w:t>/</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sz w:val="16"/>
                <w:szCs w:val="16"/>
              </w:rPr>
            </w:pPr>
            <w:r>
              <w:rPr>
                <w:rFonts w:hint="default" w:ascii="Times New Roman" w:hAnsi="Times New Roman" w:eastAsia="宋体" w:cs="Times New Roman"/>
                <w:b/>
                <w:bCs/>
                <w:kern w:val="0"/>
                <w:sz w:val="16"/>
                <w:szCs w:val="16"/>
                <w:lang w:bidi="ar"/>
              </w:rPr>
              <w:t>23.79</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sz w:val="16"/>
                <w:szCs w:val="16"/>
              </w:rPr>
            </w:pPr>
            <w:r>
              <w:rPr>
                <w:rFonts w:hint="default" w:ascii="Times New Roman" w:hAnsi="Times New Roman" w:eastAsia="宋体" w:cs="Times New Roman"/>
                <w:b/>
                <w:bCs/>
                <w:kern w:val="0"/>
                <w:sz w:val="16"/>
                <w:szCs w:val="16"/>
                <w:lang w:bidi="ar"/>
              </w:rPr>
              <w:t>19.79</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sz w:val="16"/>
                <w:szCs w:val="16"/>
              </w:rPr>
            </w:pPr>
            <w:r>
              <w:rPr>
                <w:rFonts w:hint="default" w:ascii="Times New Roman" w:hAnsi="Times New Roman" w:eastAsia="宋体" w:cs="Times New Roman"/>
                <w:b/>
                <w:bCs/>
                <w:kern w:val="0"/>
                <w:sz w:val="16"/>
                <w:szCs w:val="16"/>
                <w:lang w:bidi="ar"/>
              </w:rPr>
              <w:t>15.11</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sz w:val="16"/>
                <w:szCs w:val="16"/>
              </w:rPr>
            </w:pPr>
            <w:r>
              <w:rPr>
                <w:rFonts w:hint="default" w:ascii="Times New Roman" w:hAnsi="Times New Roman" w:eastAsia="宋体" w:cs="Times New Roman"/>
                <w:b/>
                <w:bCs/>
                <w:kern w:val="0"/>
                <w:sz w:val="16"/>
                <w:szCs w:val="16"/>
                <w:lang w:bidi="ar"/>
              </w:rPr>
              <w:t>4229</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320"/>
              <w:jc w:val="center"/>
              <w:rPr>
                <w:rFonts w:hint="default" w:ascii="Times New Roman" w:hAnsi="Times New Roman" w:eastAsia="宋体" w:cs="Times New Roman"/>
                <w:sz w:val="16"/>
                <w:szCs w:val="16"/>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sz w:val="16"/>
                <w:szCs w:val="16"/>
              </w:rPr>
            </w:pPr>
            <w:r>
              <w:rPr>
                <w:rFonts w:hint="default" w:ascii="Times New Roman" w:hAnsi="Times New Roman" w:eastAsia="宋体" w:cs="Times New Roman"/>
                <w:b/>
                <w:bCs/>
                <w:kern w:val="0"/>
                <w:sz w:val="16"/>
                <w:szCs w:val="16"/>
                <w:lang w:bidi="ar"/>
              </w:rPr>
              <w:t>47.08</w:t>
            </w:r>
          </w:p>
        </w:tc>
      </w:tr>
    </w:tbl>
    <w:p>
      <w:pPr>
        <w:pStyle w:val="24"/>
        <w:spacing w:line="360" w:lineRule="auto"/>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*备注：小型灌区续建配套与节水改造点多面广，涉及具体工程，目前尚无项目清单。</w:t>
      </w:r>
    </w:p>
    <w:p>
      <w:pPr>
        <w:pStyle w:val="24"/>
        <w:keepNext w:val="0"/>
        <w:keepLines w:val="0"/>
        <w:pageBreakBefore w:val="0"/>
        <w:widowControl w:val="0"/>
        <w:kinsoku/>
        <w:wordWrap/>
        <w:overflowPunct/>
        <w:topLinePunct w:val="0"/>
        <w:autoSpaceDE/>
        <w:autoSpaceDN/>
        <w:bidi w:val="0"/>
        <w:adjustRightInd/>
        <w:snapToGrid/>
        <w:spacing w:line="560" w:lineRule="exact"/>
        <w:ind w:right="0" w:firstLine="643"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 2 \* GB3 \* MERGEFORMAT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②</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t xml:space="preserve"> 田间节水灌溉规划</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托灌区渠系配套与节水改造项目以及高标准农田建设工程，规划在全市大中型和重点小型灌区，加大田间节水设施建设力度，大力发展田间节水灌溉，在水稻种植区积极推广水稻覆膜栽培、浅湿灌等灌溉技术，因地制宜发展旱地高效节水灌溉工程，结合粮油生产、茶叶产业、核桃产业、中药材产业、青花椒产业、芦笋产业、金银花产业等主导或特色产业布局，优选适宜的自压喷灌、膜下滴灌、园艺滴灌、改进地面灌等主要模式进行示范推广应用，积极探索水肥一体化技术，提升农业生产效益。同时，优化作物种植结构，根据水资源条件，推进适水种植、量水生产，在保证粮食安全的前提下，减少高耗水作物的种植比例，加快发展旱作农业，实现以旱补水。推广选用抗旱高产型品种；采用深耕深翻、地膜覆盖、化学保墒等措施合理保持和利用土壤水；配合水肥耦合、合理密植等农艺措施，促进农业高效用水。</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规划在 2021～2025 年，新建高标准农田70.51万亩，改造提升高标准农田35.4万亩，其中高效节水灌溉面积6.93万亩；2026～2035 年，新建高标准农田41.15万亩，改造高标准农田58.98万亩，其中高效节水灌溉面积6.03万亩。到2025年，完成1个节水型灌区创建；到2035年，完成3个节水型灌区创建。</w:t>
      </w:r>
    </w:p>
    <w:p>
      <w:pPr>
        <w:pStyle w:val="24"/>
        <w:keepNext w:val="0"/>
        <w:keepLines w:val="0"/>
        <w:pageBreakBefore w:val="0"/>
        <w:widowControl w:val="0"/>
        <w:kinsoku/>
        <w:wordWrap/>
        <w:overflowPunct/>
        <w:topLinePunct w:val="0"/>
        <w:autoSpaceDE/>
        <w:autoSpaceDN/>
        <w:bidi w:val="0"/>
        <w:adjustRightInd/>
        <w:snapToGrid/>
        <w:spacing w:line="560" w:lineRule="exact"/>
        <w:ind w:right="0" w:firstLine="643"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 3 \* GB3 \* MERGEFORMAT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③</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t xml:space="preserve"> 计量设施配套与农业水价改革规划</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整合大中型水源工程、灌区渠系配套与节水改造工程、田间节水灌溉工程等项目，规划在巴中市推进完善灌区计量监测设施建设，建立农业用水计量体系，促进农业灌溉用水计量，加快智能化、现代化灌区建设，提升灌区用水管理能力；鼓励推广精度高、造价低、适用性强、操作简便、便于管理和维护的小型量水设备。积极发展渠系动态配水技术，发展和应用实时灌溉预报技术，提倡动态计划用水管理，实行用水总量控制。到2025年，全市大中型灌区渠首和干支渠口门、规模以上地下水取水井监测计量设施安装全覆盖，农田水利设施因地制宜配套建设实用易行的计量设施，高效节水灌溉工程首部计量水表全覆盖。</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结合农业水价综合改革完成各地区农业供水水价末级核算工作，尽快实现成本水价到位，落实精准补贴和节水奖励办法。2025 年底前，形成切合巴中实际的农业水价管理模式，建立健全合理反映供水成本、有利于节水和农田水利体制机制创新、与投融资体制相适应的农业水价形成机制；农业用水水价总体达到运行维护成本水平，可持续的精准补贴和节水奖励机制基本建立。</w:t>
      </w:r>
    </w:p>
    <w:p>
      <w:pPr>
        <w:pStyle w:val="24"/>
        <w:keepNext w:val="0"/>
        <w:keepLines w:val="0"/>
        <w:pageBreakBefore w:val="0"/>
        <w:widowControl w:val="0"/>
        <w:kinsoku/>
        <w:wordWrap/>
        <w:overflowPunct/>
        <w:topLinePunct w:val="0"/>
        <w:autoSpaceDE/>
        <w:autoSpaceDN/>
        <w:bidi w:val="0"/>
        <w:adjustRightInd/>
        <w:snapToGrid/>
        <w:spacing w:line="560" w:lineRule="exact"/>
        <w:ind w:right="0" w:firstLine="643"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 4 \* GB3 \* MERGEFORMAT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bCs/>
          <w:sz w:val="32"/>
          <w:szCs w:val="32"/>
        </w:rPr>
        <w:t>④</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t xml:space="preserve"> 现代节水农业园区规划</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贯彻省委、省政府建设现代农业“10+3”产业体系要求，坚持质量兴农、效益优先，以现代农业园区建设为载体，推进特色农业产业链融合发展，推动农业由增产导向转向提质导向。结合“乡村振兴”战略，依据巴中市水资源条件和市场需求，因地制宜，发展巴中地方特色和区域优势的主导产业，如粮油生产、茶叶产业、核桃产业、中药材产业、青花椒产业、芦笋产业、金银花产业等；推广优质高效的节水新品种、新技术、新机械，推进农业机械化、规模化、产业化、品牌化，逐步形成有市场竞争力的产业带和产业群体；探索建立不同作物水肥一体化技术模式，提高水资源利用效率。加强特色农业科技应用，以科技创新促进农业增产增效，推进建设农业科技示范县和园区。</w:t>
      </w:r>
    </w:p>
    <w:p>
      <w:pPr>
        <w:pStyle w:val="32"/>
        <w:ind w:firstLine="0" w:firstLineChars="0"/>
        <w:jc w:val="center"/>
        <w:rPr>
          <w:rFonts w:hint="default" w:ascii="Times New Roman" w:hAnsi="Times New Roman" w:cs="Times New Roman"/>
        </w:rPr>
      </w:pPr>
      <w:r>
        <w:rPr>
          <w:rFonts w:hint="default" w:ascii="Times New Roman" w:hAnsi="Times New Roman" w:eastAsia="黑体" w:cs="Times New Roman"/>
          <w:b w:val="0"/>
          <w:sz w:val="24"/>
          <w:szCs w:val="24"/>
        </w:rPr>
        <w:t>表5.4 巴中市现代农业园区建设项目规划</w:t>
      </w:r>
    </w:p>
    <w:tbl>
      <w:tblPr>
        <w:tblStyle w:val="18"/>
        <w:tblW w:w="8983"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587"/>
        <w:gridCol w:w="1059"/>
        <w:gridCol w:w="817"/>
        <w:gridCol w:w="4010"/>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黑体" w:cs="Times New Roman"/>
                <w:b w:val="0"/>
                <w:bCs w:val="0"/>
                <w:sz w:val="16"/>
                <w:szCs w:val="16"/>
              </w:rPr>
            </w:pPr>
            <w:r>
              <w:rPr>
                <w:rFonts w:hint="default" w:ascii="Times New Roman" w:hAnsi="Times New Roman" w:eastAsia="黑体" w:cs="Times New Roman"/>
                <w:b w:val="0"/>
                <w:bCs w:val="0"/>
                <w:kern w:val="0"/>
                <w:sz w:val="16"/>
                <w:szCs w:val="16"/>
                <w:lang w:bidi="ar"/>
              </w:rPr>
              <w:t>序号</w:t>
            </w:r>
          </w:p>
        </w:tc>
        <w:tc>
          <w:tcPr>
            <w:tcW w:w="158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黑体" w:cs="Times New Roman"/>
                <w:b w:val="0"/>
                <w:bCs w:val="0"/>
                <w:sz w:val="16"/>
                <w:szCs w:val="16"/>
              </w:rPr>
            </w:pPr>
            <w:r>
              <w:rPr>
                <w:rFonts w:hint="default" w:ascii="Times New Roman" w:hAnsi="Times New Roman" w:eastAsia="黑体" w:cs="Times New Roman"/>
                <w:b w:val="0"/>
                <w:bCs w:val="0"/>
                <w:kern w:val="0"/>
                <w:sz w:val="16"/>
                <w:szCs w:val="16"/>
                <w:lang w:bidi="ar"/>
              </w:rPr>
              <w:t>名称</w:t>
            </w:r>
          </w:p>
        </w:tc>
        <w:tc>
          <w:tcPr>
            <w:tcW w:w="105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黑体" w:cs="Times New Roman"/>
                <w:b w:val="0"/>
                <w:bCs w:val="0"/>
                <w:kern w:val="0"/>
                <w:sz w:val="16"/>
                <w:szCs w:val="16"/>
                <w:lang w:bidi="ar"/>
              </w:rPr>
            </w:pPr>
            <w:r>
              <w:rPr>
                <w:rFonts w:hint="default" w:ascii="Times New Roman" w:hAnsi="Times New Roman" w:eastAsia="黑体" w:cs="Times New Roman"/>
                <w:b w:val="0"/>
                <w:bCs w:val="0"/>
                <w:kern w:val="0"/>
                <w:sz w:val="16"/>
                <w:szCs w:val="16"/>
                <w:lang w:bidi="ar"/>
              </w:rPr>
              <w:t>实施</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黑体" w:cs="Times New Roman"/>
                <w:b w:val="0"/>
                <w:bCs w:val="0"/>
                <w:sz w:val="16"/>
                <w:szCs w:val="16"/>
              </w:rPr>
            </w:pPr>
            <w:r>
              <w:rPr>
                <w:rFonts w:hint="default" w:ascii="Times New Roman" w:hAnsi="Times New Roman" w:eastAsia="黑体" w:cs="Times New Roman"/>
                <w:b w:val="0"/>
                <w:bCs w:val="0"/>
                <w:kern w:val="0"/>
                <w:sz w:val="16"/>
                <w:szCs w:val="16"/>
                <w:lang w:bidi="ar"/>
              </w:rPr>
              <w:t>年限</w:t>
            </w:r>
          </w:p>
        </w:tc>
        <w:tc>
          <w:tcPr>
            <w:tcW w:w="81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黑体" w:cs="Times New Roman"/>
                <w:b w:val="0"/>
                <w:bCs w:val="0"/>
                <w:sz w:val="16"/>
                <w:szCs w:val="16"/>
              </w:rPr>
            </w:pPr>
            <w:r>
              <w:rPr>
                <w:rFonts w:hint="default" w:ascii="Times New Roman" w:hAnsi="Times New Roman" w:eastAsia="黑体" w:cs="Times New Roman"/>
                <w:b w:val="0"/>
                <w:bCs w:val="0"/>
                <w:kern w:val="0"/>
                <w:sz w:val="16"/>
                <w:szCs w:val="16"/>
                <w:lang w:bidi="ar"/>
              </w:rPr>
              <w:t>行政区</w:t>
            </w:r>
          </w:p>
        </w:tc>
        <w:tc>
          <w:tcPr>
            <w:tcW w:w="401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黑体" w:cs="Times New Roman"/>
                <w:b w:val="0"/>
                <w:bCs w:val="0"/>
                <w:sz w:val="16"/>
                <w:szCs w:val="16"/>
              </w:rPr>
            </w:pPr>
            <w:r>
              <w:rPr>
                <w:rFonts w:hint="default" w:ascii="Times New Roman" w:hAnsi="Times New Roman" w:eastAsia="黑体" w:cs="Times New Roman"/>
                <w:b w:val="0"/>
                <w:bCs w:val="0"/>
                <w:kern w:val="0"/>
                <w:sz w:val="16"/>
                <w:szCs w:val="16"/>
                <w:lang w:bidi="ar"/>
              </w:rPr>
              <w:t>实施内容</w:t>
            </w:r>
          </w:p>
        </w:tc>
        <w:tc>
          <w:tcPr>
            <w:tcW w:w="9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黑体" w:cs="Times New Roman"/>
                <w:b w:val="0"/>
                <w:bCs w:val="0"/>
                <w:kern w:val="0"/>
                <w:sz w:val="16"/>
                <w:szCs w:val="16"/>
                <w:lang w:bidi="ar"/>
              </w:rPr>
            </w:pPr>
            <w:r>
              <w:rPr>
                <w:rFonts w:hint="default" w:ascii="Times New Roman" w:hAnsi="Times New Roman" w:eastAsia="黑体" w:cs="Times New Roman"/>
                <w:b w:val="0"/>
                <w:bCs w:val="0"/>
                <w:kern w:val="0"/>
                <w:sz w:val="16"/>
                <w:szCs w:val="16"/>
                <w:lang w:bidi="ar"/>
              </w:rPr>
              <w:t>投资</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黑体" w:cs="Times New Roman"/>
                <w:b w:val="0"/>
                <w:bCs w:val="0"/>
                <w:sz w:val="16"/>
                <w:szCs w:val="16"/>
              </w:rPr>
            </w:pPr>
            <w:r>
              <w:rPr>
                <w:rFonts w:hint="default" w:ascii="Times New Roman" w:hAnsi="Times New Roman" w:eastAsia="黑体" w:cs="Times New Roman"/>
                <w:b w:val="0"/>
                <w:bCs w:val="0"/>
                <w:kern w:val="0"/>
                <w:sz w:val="16"/>
                <w:szCs w:val="16"/>
                <w:lang w:bidi="ar"/>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4"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1</w:t>
            </w:r>
          </w:p>
        </w:tc>
        <w:tc>
          <w:tcPr>
            <w:tcW w:w="1587" w:type="dxa"/>
            <w:tcBorders>
              <w:tl2br w:val="nil"/>
              <w:tr2bl w:val="nil"/>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巴州区枳壳现代农业园区</w:t>
            </w:r>
          </w:p>
        </w:tc>
        <w:tc>
          <w:tcPr>
            <w:tcW w:w="1059" w:type="dxa"/>
            <w:tcBorders>
              <w:tl2br w:val="nil"/>
              <w:tr2bl w:val="nil"/>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2020-2025</w:t>
            </w:r>
          </w:p>
        </w:tc>
        <w:tc>
          <w:tcPr>
            <w:tcW w:w="817"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巴州区</w:t>
            </w:r>
          </w:p>
        </w:tc>
        <w:tc>
          <w:tcPr>
            <w:tcW w:w="4010" w:type="dxa"/>
            <w:tcBorders>
              <w:tl2br w:val="nil"/>
              <w:tr2bl w:val="nil"/>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发展在清江、大和、水宁寺、曾口等乡镇建道地药材种植基地</w:t>
            </w:r>
            <w:r>
              <w:rPr>
                <w:rStyle w:val="39"/>
                <w:rFonts w:hint="default" w:ascii="Times New Roman" w:hAnsi="Times New Roman" w:cs="Times New Roman"/>
                <w:color w:val="auto"/>
                <w:lang w:bidi="ar"/>
              </w:rPr>
              <w:t>2.8</w:t>
            </w:r>
            <w:r>
              <w:rPr>
                <w:rStyle w:val="40"/>
                <w:rFonts w:hint="default" w:ascii="Times New Roman" w:hAnsi="Times New Roman" w:cs="Times New Roman"/>
                <w:color w:val="auto"/>
                <w:lang w:bidi="ar"/>
              </w:rPr>
              <w:t>万亩、配套产业园区道路、土地整理、灌溉设施等基础设施。</w:t>
            </w:r>
          </w:p>
        </w:tc>
        <w:tc>
          <w:tcPr>
            <w:tcW w:w="916"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sz w:val="16"/>
                <w:szCs w:val="16"/>
              </w:rPr>
            </w:pPr>
            <w:r>
              <w:rPr>
                <w:rFonts w:hint="default" w:ascii="Times New Roman" w:hAnsi="Times New Roman" w:cs="Times New Roman"/>
                <w:b/>
                <w:bCs/>
                <w:kern w:val="0"/>
                <w:sz w:val="16"/>
                <w:szCs w:val="16"/>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594"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w:t>
            </w:r>
          </w:p>
        </w:tc>
        <w:tc>
          <w:tcPr>
            <w:tcW w:w="1587" w:type="dxa"/>
            <w:tcBorders>
              <w:tl2br w:val="nil"/>
              <w:tr2bl w:val="nil"/>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巴州区中药材种业科技园</w:t>
            </w:r>
          </w:p>
        </w:tc>
        <w:tc>
          <w:tcPr>
            <w:tcW w:w="1059" w:type="dxa"/>
            <w:tcBorders>
              <w:tl2br w:val="nil"/>
              <w:tr2bl w:val="nil"/>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2022-2024</w:t>
            </w:r>
          </w:p>
        </w:tc>
        <w:tc>
          <w:tcPr>
            <w:tcW w:w="817"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巴州区</w:t>
            </w:r>
          </w:p>
        </w:tc>
        <w:tc>
          <w:tcPr>
            <w:tcW w:w="4010" w:type="dxa"/>
            <w:tcBorders>
              <w:tl2br w:val="nil"/>
              <w:tr2bl w:val="nil"/>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建设道地药材种植基地</w:t>
            </w:r>
            <w:r>
              <w:rPr>
                <w:rStyle w:val="39"/>
                <w:rFonts w:hint="default" w:ascii="Times New Roman" w:hAnsi="Times New Roman" w:cs="Times New Roman"/>
                <w:color w:val="auto"/>
                <w:lang w:bidi="ar"/>
              </w:rPr>
              <w:t>1</w:t>
            </w:r>
            <w:r>
              <w:rPr>
                <w:rStyle w:val="41"/>
                <w:rFonts w:hint="default" w:ascii="Times New Roman" w:hAnsi="Times New Roman" w:eastAsia="仿宋" w:cs="Times New Roman"/>
                <w:color w:val="auto"/>
                <w:lang w:bidi="ar"/>
              </w:rPr>
              <w:t>.</w:t>
            </w:r>
            <w:r>
              <w:rPr>
                <w:rStyle w:val="40"/>
                <w:rFonts w:hint="default" w:ascii="Times New Roman" w:hAnsi="Times New Roman" w:cs="Times New Roman"/>
                <w:color w:val="auto"/>
                <w:lang w:bidi="ar"/>
              </w:rPr>
              <w:t>1万亩，配套产业园区道路、土地整理、灌溉设施等基础设施。</w:t>
            </w:r>
          </w:p>
        </w:tc>
        <w:tc>
          <w:tcPr>
            <w:tcW w:w="916"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sz w:val="16"/>
                <w:szCs w:val="16"/>
              </w:rPr>
            </w:pPr>
            <w:r>
              <w:rPr>
                <w:rFonts w:hint="default" w:ascii="Times New Roman" w:hAnsi="Times New Roman" w:cs="Times New Roman"/>
                <w:b/>
                <w:bCs/>
                <w:kern w:val="0"/>
                <w:sz w:val="16"/>
                <w:szCs w:val="16"/>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594"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3</w:t>
            </w:r>
          </w:p>
        </w:tc>
        <w:tc>
          <w:tcPr>
            <w:tcW w:w="1587" w:type="dxa"/>
            <w:tcBorders>
              <w:tl2br w:val="nil"/>
              <w:tr2bl w:val="nil"/>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巴州区北部山区茶叶现代农业园区</w:t>
            </w:r>
          </w:p>
        </w:tc>
        <w:tc>
          <w:tcPr>
            <w:tcW w:w="1059" w:type="dxa"/>
            <w:tcBorders>
              <w:tl2br w:val="nil"/>
              <w:tr2bl w:val="nil"/>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2021-2025</w:t>
            </w:r>
          </w:p>
        </w:tc>
        <w:tc>
          <w:tcPr>
            <w:tcW w:w="817"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巴州区</w:t>
            </w:r>
          </w:p>
        </w:tc>
        <w:tc>
          <w:tcPr>
            <w:tcW w:w="4010" w:type="dxa"/>
            <w:tcBorders>
              <w:tl2br w:val="nil"/>
              <w:tr2bl w:val="nil"/>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建设</w:t>
            </w:r>
            <w:r>
              <w:rPr>
                <w:rStyle w:val="39"/>
                <w:rFonts w:hint="default" w:ascii="Times New Roman" w:hAnsi="Times New Roman" w:cs="Times New Roman"/>
                <w:color w:val="auto"/>
                <w:lang w:bidi="ar"/>
              </w:rPr>
              <w:t>“</w:t>
            </w:r>
            <w:r>
              <w:rPr>
                <w:rStyle w:val="40"/>
                <w:rFonts w:hint="default" w:ascii="Times New Roman" w:hAnsi="Times New Roman" w:cs="Times New Roman"/>
                <w:color w:val="auto"/>
                <w:lang w:bidi="ar"/>
              </w:rPr>
              <w:t>松巴</w:t>
            </w:r>
            <w:r>
              <w:rPr>
                <w:rStyle w:val="39"/>
                <w:rFonts w:hint="default" w:ascii="Times New Roman" w:hAnsi="Times New Roman" w:cs="Times New Roman"/>
                <w:color w:val="auto"/>
                <w:lang w:bidi="ar"/>
              </w:rPr>
              <w:t>”“</w:t>
            </w:r>
            <w:r>
              <w:rPr>
                <w:rStyle w:val="40"/>
                <w:rFonts w:hint="default" w:ascii="Times New Roman" w:hAnsi="Times New Roman" w:cs="Times New Roman"/>
                <w:color w:val="auto"/>
                <w:lang w:bidi="ar"/>
              </w:rPr>
              <w:t>大观梁</w:t>
            </w:r>
            <w:r>
              <w:rPr>
                <w:rStyle w:val="39"/>
                <w:rFonts w:hint="default" w:ascii="Times New Roman" w:hAnsi="Times New Roman" w:cs="Times New Roman"/>
                <w:color w:val="auto"/>
                <w:lang w:bidi="ar"/>
              </w:rPr>
              <w:t>”</w:t>
            </w:r>
            <w:r>
              <w:rPr>
                <w:rStyle w:val="40"/>
                <w:rFonts w:hint="default" w:ascii="Times New Roman" w:hAnsi="Times New Roman" w:cs="Times New Roman"/>
                <w:color w:val="auto"/>
                <w:lang w:bidi="ar"/>
              </w:rPr>
              <w:t>等高档名优茶园</w:t>
            </w:r>
            <w:r>
              <w:rPr>
                <w:rStyle w:val="39"/>
                <w:rFonts w:hint="default" w:ascii="Times New Roman" w:hAnsi="Times New Roman" w:cs="Times New Roman"/>
                <w:color w:val="auto"/>
                <w:lang w:bidi="ar"/>
              </w:rPr>
              <w:t>1</w:t>
            </w:r>
            <w:r>
              <w:rPr>
                <w:rStyle w:val="40"/>
                <w:rFonts w:hint="default" w:ascii="Times New Roman" w:hAnsi="Times New Roman" w:cs="Times New Roman"/>
                <w:color w:val="auto"/>
                <w:lang w:bidi="ar"/>
              </w:rPr>
              <w:t>万亩，配套产业园区道路、土地整理、灌溉设施等基础设施。</w:t>
            </w:r>
          </w:p>
        </w:tc>
        <w:tc>
          <w:tcPr>
            <w:tcW w:w="916"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sz w:val="16"/>
                <w:szCs w:val="16"/>
              </w:rPr>
            </w:pPr>
            <w:r>
              <w:rPr>
                <w:rFonts w:hint="default" w:ascii="Times New Roman" w:hAnsi="Times New Roman" w:cs="Times New Roman"/>
                <w:b/>
                <w:bCs/>
                <w:kern w:val="0"/>
                <w:sz w:val="16"/>
                <w:szCs w:val="16"/>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594"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4</w:t>
            </w:r>
          </w:p>
        </w:tc>
        <w:tc>
          <w:tcPr>
            <w:tcW w:w="1587" w:type="dxa"/>
            <w:tcBorders>
              <w:tl2br w:val="nil"/>
              <w:tr2bl w:val="nil"/>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恩阳区道地药材现代农业产业园区</w:t>
            </w:r>
          </w:p>
        </w:tc>
        <w:tc>
          <w:tcPr>
            <w:tcW w:w="1059" w:type="dxa"/>
            <w:tcBorders>
              <w:tl2br w:val="nil"/>
              <w:tr2bl w:val="nil"/>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2021-2025</w:t>
            </w:r>
          </w:p>
        </w:tc>
        <w:tc>
          <w:tcPr>
            <w:tcW w:w="817"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恩阳区</w:t>
            </w:r>
          </w:p>
        </w:tc>
        <w:tc>
          <w:tcPr>
            <w:tcW w:w="4010" w:type="dxa"/>
            <w:tcBorders>
              <w:tl2br w:val="nil"/>
              <w:tr2bl w:val="nil"/>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以明阳镇、渔溪镇、九镇等为核心区，以川明参、川佛手、黄精为主导品种，种植面积达</w:t>
            </w:r>
            <w:r>
              <w:rPr>
                <w:rStyle w:val="39"/>
                <w:rFonts w:hint="default" w:ascii="Times New Roman" w:hAnsi="Times New Roman" w:cs="Times New Roman"/>
                <w:color w:val="auto"/>
                <w:lang w:bidi="ar"/>
              </w:rPr>
              <w:t>4</w:t>
            </w:r>
            <w:r>
              <w:rPr>
                <w:rStyle w:val="40"/>
                <w:rFonts w:hint="default" w:ascii="Times New Roman" w:hAnsi="Times New Roman" w:cs="Times New Roman"/>
                <w:color w:val="auto"/>
                <w:lang w:bidi="ar"/>
              </w:rPr>
              <w:t>万亩、辐射全区发展道地药材</w:t>
            </w:r>
            <w:r>
              <w:rPr>
                <w:rStyle w:val="39"/>
                <w:rFonts w:hint="default" w:ascii="Times New Roman" w:hAnsi="Times New Roman" w:cs="Times New Roman"/>
                <w:color w:val="auto"/>
                <w:lang w:bidi="ar"/>
              </w:rPr>
              <w:t>10</w:t>
            </w:r>
            <w:r>
              <w:rPr>
                <w:rStyle w:val="40"/>
                <w:rFonts w:hint="default" w:ascii="Times New Roman" w:hAnsi="Times New Roman" w:cs="Times New Roman"/>
                <w:color w:val="auto"/>
                <w:lang w:bidi="ar"/>
              </w:rPr>
              <w:t>万亩。高标准农田改造</w:t>
            </w:r>
            <w:r>
              <w:rPr>
                <w:rStyle w:val="39"/>
                <w:rFonts w:hint="default" w:ascii="Times New Roman" w:hAnsi="Times New Roman" w:cs="Times New Roman"/>
                <w:color w:val="auto"/>
                <w:lang w:bidi="ar"/>
              </w:rPr>
              <w:t>1</w:t>
            </w:r>
            <w:r>
              <w:rPr>
                <w:rStyle w:val="40"/>
                <w:rFonts w:hint="default" w:ascii="Times New Roman" w:hAnsi="Times New Roman" w:cs="Times New Roman"/>
                <w:color w:val="auto"/>
                <w:lang w:bidi="ar"/>
              </w:rPr>
              <w:t>万亩，土地改良</w:t>
            </w:r>
            <w:r>
              <w:rPr>
                <w:rStyle w:val="39"/>
                <w:rFonts w:hint="default" w:ascii="Times New Roman" w:hAnsi="Times New Roman" w:cs="Times New Roman"/>
                <w:color w:val="auto"/>
                <w:lang w:bidi="ar"/>
              </w:rPr>
              <w:t>1</w:t>
            </w:r>
            <w:r>
              <w:rPr>
                <w:rStyle w:val="40"/>
                <w:rFonts w:hint="default" w:ascii="Times New Roman" w:hAnsi="Times New Roman" w:cs="Times New Roman"/>
                <w:color w:val="auto"/>
                <w:lang w:bidi="ar"/>
              </w:rPr>
              <w:t>万亩并配套滴灌设施，新（扩）建道路</w:t>
            </w:r>
            <w:r>
              <w:rPr>
                <w:rStyle w:val="39"/>
                <w:rFonts w:hint="default" w:ascii="Times New Roman" w:hAnsi="Times New Roman" w:cs="Times New Roman"/>
                <w:color w:val="auto"/>
                <w:lang w:bidi="ar"/>
              </w:rPr>
              <w:t>9.5</w:t>
            </w:r>
            <w:r>
              <w:rPr>
                <w:rStyle w:val="40"/>
                <w:rFonts w:hint="default" w:ascii="Times New Roman" w:hAnsi="Times New Roman" w:cs="Times New Roman"/>
                <w:color w:val="auto"/>
                <w:lang w:bidi="ar"/>
              </w:rPr>
              <w:t>公里，新建蓄水池</w:t>
            </w:r>
            <w:r>
              <w:rPr>
                <w:rStyle w:val="39"/>
                <w:rFonts w:hint="default" w:ascii="Times New Roman" w:hAnsi="Times New Roman" w:cs="Times New Roman"/>
                <w:color w:val="auto"/>
                <w:lang w:bidi="ar"/>
              </w:rPr>
              <w:t>5</w:t>
            </w:r>
            <w:r>
              <w:rPr>
                <w:rStyle w:val="40"/>
                <w:rFonts w:hint="default" w:ascii="Times New Roman" w:hAnsi="Times New Roman" w:cs="Times New Roman"/>
                <w:color w:val="auto"/>
                <w:lang w:bidi="ar"/>
              </w:rPr>
              <w:t>口、整治山坪塘</w:t>
            </w:r>
            <w:r>
              <w:rPr>
                <w:rStyle w:val="39"/>
                <w:rFonts w:hint="default" w:ascii="Times New Roman" w:hAnsi="Times New Roman" w:cs="Times New Roman"/>
                <w:color w:val="auto"/>
                <w:lang w:bidi="ar"/>
              </w:rPr>
              <w:t>11</w:t>
            </w:r>
            <w:r>
              <w:rPr>
                <w:rStyle w:val="40"/>
                <w:rFonts w:hint="default" w:ascii="Times New Roman" w:hAnsi="Times New Roman" w:cs="Times New Roman"/>
                <w:color w:val="auto"/>
                <w:lang w:bidi="ar"/>
              </w:rPr>
              <w:t>口。</w:t>
            </w:r>
          </w:p>
        </w:tc>
        <w:tc>
          <w:tcPr>
            <w:tcW w:w="916"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sz w:val="16"/>
                <w:szCs w:val="16"/>
              </w:rPr>
            </w:pPr>
            <w:r>
              <w:rPr>
                <w:rFonts w:hint="default" w:ascii="Times New Roman" w:hAnsi="Times New Roman" w:cs="Times New Roman"/>
                <w:b/>
                <w:bCs/>
                <w:kern w:val="0"/>
                <w:sz w:val="16"/>
                <w:szCs w:val="16"/>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594"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5</w:t>
            </w:r>
          </w:p>
        </w:tc>
        <w:tc>
          <w:tcPr>
            <w:tcW w:w="1587" w:type="dxa"/>
            <w:tcBorders>
              <w:tl2br w:val="nil"/>
              <w:tr2bl w:val="nil"/>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恩阳区有机果蔬现代农业产业园区</w:t>
            </w:r>
          </w:p>
        </w:tc>
        <w:tc>
          <w:tcPr>
            <w:tcW w:w="1059" w:type="dxa"/>
            <w:tcBorders>
              <w:tl2br w:val="nil"/>
              <w:tr2bl w:val="nil"/>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2021-2025</w:t>
            </w:r>
          </w:p>
        </w:tc>
        <w:tc>
          <w:tcPr>
            <w:tcW w:w="817"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恩阳区</w:t>
            </w:r>
          </w:p>
        </w:tc>
        <w:tc>
          <w:tcPr>
            <w:tcW w:w="4010" w:type="dxa"/>
            <w:tcBorders>
              <w:tl2br w:val="nil"/>
              <w:tr2bl w:val="nil"/>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在下八庙镇、雪山镇、玉山镇、双胜镇等镇核心区种植芦笋、魔芋为主导品种</w:t>
            </w:r>
            <w:r>
              <w:rPr>
                <w:rStyle w:val="39"/>
                <w:rFonts w:hint="default" w:ascii="Times New Roman" w:hAnsi="Times New Roman" w:cs="Times New Roman"/>
                <w:color w:val="auto"/>
                <w:lang w:bidi="ar"/>
              </w:rPr>
              <w:t>50000</w:t>
            </w:r>
            <w:r>
              <w:rPr>
                <w:rStyle w:val="40"/>
                <w:rFonts w:hint="default" w:ascii="Times New Roman" w:hAnsi="Times New Roman" w:cs="Times New Roman"/>
                <w:color w:val="auto"/>
                <w:lang w:bidi="ar"/>
              </w:rPr>
              <w:t>亩，新（改）建蔬菜基地</w:t>
            </w:r>
            <w:r>
              <w:rPr>
                <w:rStyle w:val="39"/>
                <w:rFonts w:hint="default" w:ascii="Times New Roman" w:hAnsi="Times New Roman" w:cs="Times New Roman"/>
                <w:color w:val="auto"/>
                <w:lang w:bidi="ar"/>
              </w:rPr>
              <w:t>20</w:t>
            </w:r>
            <w:r>
              <w:rPr>
                <w:rStyle w:val="40"/>
                <w:rFonts w:hint="default" w:ascii="Times New Roman" w:hAnsi="Times New Roman" w:cs="Times New Roman"/>
                <w:color w:val="auto"/>
                <w:lang w:bidi="ar"/>
              </w:rPr>
              <w:t>个，土地整理及改良</w:t>
            </w:r>
            <w:r>
              <w:rPr>
                <w:rStyle w:val="39"/>
                <w:rFonts w:hint="default" w:ascii="Times New Roman" w:hAnsi="Times New Roman" w:cs="Times New Roman"/>
                <w:color w:val="auto"/>
                <w:lang w:bidi="ar"/>
              </w:rPr>
              <w:t>5000</w:t>
            </w:r>
            <w:r>
              <w:rPr>
                <w:rStyle w:val="40"/>
                <w:rFonts w:hint="default" w:ascii="Times New Roman" w:hAnsi="Times New Roman" w:cs="Times New Roman"/>
                <w:color w:val="auto"/>
                <w:lang w:bidi="ar"/>
              </w:rPr>
              <w:t>亩、建育苗中心，新（扩、改）道路及耕作道</w:t>
            </w:r>
            <w:r>
              <w:rPr>
                <w:rStyle w:val="39"/>
                <w:rFonts w:hint="default" w:ascii="Times New Roman" w:hAnsi="Times New Roman" w:cs="Times New Roman"/>
                <w:color w:val="auto"/>
                <w:lang w:bidi="ar"/>
              </w:rPr>
              <w:t>33.16</w:t>
            </w:r>
            <w:r>
              <w:rPr>
                <w:rStyle w:val="40"/>
                <w:rFonts w:hint="default" w:ascii="Times New Roman" w:hAnsi="Times New Roman" w:cs="Times New Roman"/>
                <w:color w:val="auto"/>
                <w:lang w:bidi="ar"/>
              </w:rPr>
              <w:t>公里，新（改）建及整治塘库堰</w:t>
            </w:r>
            <w:r>
              <w:rPr>
                <w:rStyle w:val="39"/>
                <w:rFonts w:hint="default" w:ascii="Times New Roman" w:hAnsi="Times New Roman" w:cs="Times New Roman"/>
                <w:color w:val="auto"/>
                <w:lang w:bidi="ar"/>
              </w:rPr>
              <w:t>24</w:t>
            </w:r>
            <w:r>
              <w:rPr>
                <w:rStyle w:val="40"/>
                <w:rFonts w:hint="default" w:ascii="Times New Roman" w:hAnsi="Times New Roman" w:cs="Times New Roman"/>
                <w:color w:val="auto"/>
                <w:lang w:bidi="ar"/>
              </w:rPr>
              <w:t>口、配套安装滴灌设施。</w:t>
            </w:r>
          </w:p>
        </w:tc>
        <w:tc>
          <w:tcPr>
            <w:tcW w:w="916"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sz w:val="16"/>
                <w:szCs w:val="16"/>
              </w:rPr>
            </w:pPr>
            <w:r>
              <w:rPr>
                <w:rFonts w:hint="default" w:ascii="Times New Roman" w:hAnsi="Times New Roman" w:cs="Times New Roman"/>
                <w:b/>
                <w:bCs/>
                <w:kern w:val="0"/>
                <w:sz w:val="16"/>
                <w:szCs w:val="16"/>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594"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6</w:t>
            </w:r>
          </w:p>
        </w:tc>
        <w:tc>
          <w:tcPr>
            <w:tcW w:w="1587" w:type="dxa"/>
            <w:tcBorders>
              <w:tl2br w:val="nil"/>
              <w:tr2bl w:val="nil"/>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恩阳区国家级粮油现代农业产业园区</w:t>
            </w:r>
          </w:p>
        </w:tc>
        <w:tc>
          <w:tcPr>
            <w:tcW w:w="1059" w:type="dxa"/>
            <w:tcBorders>
              <w:tl2br w:val="nil"/>
              <w:tr2bl w:val="nil"/>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2021-2023</w:t>
            </w:r>
          </w:p>
        </w:tc>
        <w:tc>
          <w:tcPr>
            <w:tcW w:w="817" w:type="dxa"/>
            <w:tcBorders>
              <w:tl2br w:val="nil"/>
              <w:tr2bl w:val="nil"/>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恩阳区</w:t>
            </w:r>
          </w:p>
        </w:tc>
        <w:tc>
          <w:tcPr>
            <w:tcW w:w="4010" w:type="dxa"/>
            <w:tcBorders>
              <w:tl2br w:val="nil"/>
              <w:tr2bl w:val="nil"/>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产业园区以</w:t>
            </w:r>
            <w:r>
              <w:rPr>
                <w:rStyle w:val="39"/>
                <w:rFonts w:hint="default" w:ascii="Times New Roman" w:hAnsi="Times New Roman" w:cs="Times New Roman"/>
                <w:color w:val="auto"/>
                <w:lang w:bidi="ar"/>
              </w:rPr>
              <w:t>“</w:t>
            </w:r>
            <w:r>
              <w:rPr>
                <w:rStyle w:val="40"/>
                <w:rFonts w:hint="default" w:ascii="Times New Roman" w:hAnsi="Times New Roman" w:cs="Times New Roman"/>
                <w:color w:val="auto"/>
                <w:lang w:bidi="ar"/>
              </w:rPr>
              <w:t>云上花海 金玉粮源</w:t>
            </w:r>
            <w:r>
              <w:rPr>
                <w:rStyle w:val="39"/>
                <w:rFonts w:hint="default" w:ascii="Times New Roman" w:hAnsi="Times New Roman" w:cs="Times New Roman"/>
                <w:color w:val="auto"/>
                <w:lang w:bidi="ar"/>
              </w:rPr>
              <w:t>”</w:t>
            </w:r>
            <w:r>
              <w:rPr>
                <w:rStyle w:val="40"/>
                <w:rFonts w:hint="default" w:ascii="Times New Roman" w:hAnsi="Times New Roman" w:cs="Times New Roman"/>
                <w:color w:val="auto"/>
                <w:lang w:bidi="ar"/>
              </w:rPr>
              <w:t>为主题，以兴隆镇、柳林镇为核心，改造高标准农田</w:t>
            </w:r>
            <w:r>
              <w:rPr>
                <w:rStyle w:val="39"/>
                <w:rFonts w:hint="default" w:ascii="Times New Roman" w:hAnsi="Times New Roman" w:cs="Times New Roman"/>
                <w:color w:val="auto"/>
                <w:lang w:bidi="ar"/>
              </w:rPr>
              <w:t>5000</w:t>
            </w:r>
            <w:r>
              <w:rPr>
                <w:rStyle w:val="40"/>
                <w:rFonts w:hint="default" w:ascii="Times New Roman" w:hAnsi="Times New Roman" w:cs="Times New Roman"/>
                <w:color w:val="auto"/>
                <w:lang w:bidi="ar"/>
              </w:rPr>
              <w:t>亩，主要种植优质粮油，新建道路</w:t>
            </w:r>
            <w:r>
              <w:rPr>
                <w:rStyle w:val="39"/>
                <w:rFonts w:hint="default" w:ascii="Times New Roman" w:hAnsi="Times New Roman" w:cs="Times New Roman"/>
                <w:color w:val="auto"/>
                <w:lang w:bidi="ar"/>
              </w:rPr>
              <w:t>30.82</w:t>
            </w:r>
            <w:r>
              <w:rPr>
                <w:rStyle w:val="40"/>
                <w:rFonts w:hint="default" w:ascii="Times New Roman" w:hAnsi="Times New Roman" w:cs="Times New Roman"/>
                <w:color w:val="auto"/>
                <w:lang w:bidi="ar"/>
              </w:rPr>
              <w:t>公里，道路拓宽</w:t>
            </w:r>
            <w:r>
              <w:rPr>
                <w:rStyle w:val="39"/>
                <w:rFonts w:hint="default" w:ascii="Times New Roman" w:hAnsi="Times New Roman" w:cs="Times New Roman"/>
                <w:color w:val="auto"/>
                <w:lang w:bidi="ar"/>
              </w:rPr>
              <w:t>6.08</w:t>
            </w:r>
            <w:r>
              <w:rPr>
                <w:rStyle w:val="40"/>
                <w:rFonts w:hint="default" w:ascii="Times New Roman" w:hAnsi="Times New Roman" w:cs="Times New Roman"/>
                <w:color w:val="auto"/>
                <w:lang w:bidi="ar"/>
              </w:rPr>
              <w:t>公里，新建堤坝</w:t>
            </w:r>
            <w:r>
              <w:rPr>
                <w:rStyle w:val="39"/>
                <w:rFonts w:hint="default" w:ascii="Times New Roman" w:hAnsi="Times New Roman" w:cs="Times New Roman"/>
                <w:color w:val="auto"/>
                <w:lang w:bidi="ar"/>
              </w:rPr>
              <w:t>2</w:t>
            </w:r>
            <w:r>
              <w:rPr>
                <w:rStyle w:val="40"/>
                <w:rFonts w:hint="default" w:ascii="Times New Roman" w:hAnsi="Times New Roman" w:cs="Times New Roman"/>
                <w:color w:val="auto"/>
                <w:lang w:bidi="ar"/>
              </w:rPr>
              <w:t>座、整治塘库堰</w:t>
            </w:r>
            <w:r>
              <w:rPr>
                <w:rStyle w:val="39"/>
                <w:rFonts w:hint="default" w:ascii="Times New Roman" w:hAnsi="Times New Roman" w:cs="Times New Roman"/>
                <w:color w:val="auto"/>
                <w:lang w:bidi="ar"/>
              </w:rPr>
              <w:t>4</w:t>
            </w:r>
            <w:r>
              <w:rPr>
                <w:rStyle w:val="40"/>
                <w:rFonts w:hint="default" w:ascii="Times New Roman" w:hAnsi="Times New Roman" w:cs="Times New Roman"/>
                <w:color w:val="auto"/>
                <w:lang w:bidi="ar"/>
              </w:rPr>
              <w:t>处，建设科普示范园。</w:t>
            </w:r>
          </w:p>
        </w:tc>
        <w:tc>
          <w:tcPr>
            <w:tcW w:w="916"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sz w:val="16"/>
                <w:szCs w:val="16"/>
              </w:rPr>
            </w:pPr>
            <w:r>
              <w:rPr>
                <w:rFonts w:hint="default" w:ascii="Times New Roman" w:hAnsi="Times New Roman" w:cs="Times New Roman"/>
                <w:b/>
                <w:bCs/>
                <w:kern w:val="0"/>
                <w:sz w:val="16"/>
                <w:szCs w:val="16"/>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94"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7</w:t>
            </w:r>
          </w:p>
        </w:tc>
        <w:tc>
          <w:tcPr>
            <w:tcW w:w="1587" w:type="dxa"/>
            <w:tcBorders>
              <w:tl2br w:val="nil"/>
              <w:tr2bl w:val="nil"/>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核桃青花椒市级现代林业园区</w:t>
            </w:r>
          </w:p>
        </w:tc>
        <w:tc>
          <w:tcPr>
            <w:tcW w:w="1059" w:type="dxa"/>
            <w:tcBorders>
              <w:tl2br w:val="nil"/>
              <w:tr2bl w:val="nil"/>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2021-2025</w:t>
            </w:r>
          </w:p>
        </w:tc>
        <w:tc>
          <w:tcPr>
            <w:tcW w:w="817" w:type="dxa"/>
            <w:tcBorders>
              <w:tl2br w:val="nil"/>
              <w:tr2bl w:val="nil"/>
            </w:tcBorders>
            <w:shd w:val="clear" w:color="auto" w:fill="auto"/>
            <w:noWrap/>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南江县、通江县、平昌县</w:t>
            </w:r>
          </w:p>
        </w:tc>
        <w:tc>
          <w:tcPr>
            <w:tcW w:w="4010" w:type="dxa"/>
            <w:tcBorders>
              <w:tl2br w:val="nil"/>
              <w:tr2bl w:val="nil"/>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新种植核桃1万亩，完成低产低效核桃林改造15万亩，建设核桃丰产示范点14个，创建南江县核桃省级现代林业园区及通江县核桃、平昌县核桃青花椒市级现代林业园区。</w:t>
            </w:r>
          </w:p>
        </w:tc>
        <w:tc>
          <w:tcPr>
            <w:tcW w:w="916"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kern w:val="0"/>
                <w:sz w:val="16"/>
                <w:szCs w:val="16"/>
                <w:lang w:bidi="ar"/>
              </w:rPr>
            </w:pPr>
            <w:r>
              <w:rPr>
                <w:rFonts w:hint="default" w:ascii="Times New Roman" w:hAnsi="Times New Roman" w:cs="Times New Roman"/>
                <w:b/>
                <w:bCs/>
                <w:kern w:val="0"/>
                <w:sz w:val="16"/>
                <w:szCs w:val="16"/>
                <w:lang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94"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8</w:t>
            </w:r>
          </w:p>
        </w:tc>
        <w:tc>
          <w:tcPr>
            <w:tcW w:w="1587" w:type="dxa"/>
            <w:tcBorders>
              <w:tl2br w:val="nil"/>
              <w:tr2bl w:val="nil"/>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南江县富硒茶基地</w:t>
            </w:r>
          </w:p>
        </w:tc>
        <w:tc>
          <w:tcPr>
            <w:tcW w:w="1059" w:type="dxa"/>
            <w:tcBorders>
              <w:tl2br w:val="nil"/>
              <w:tr2bl w:val="nil"/>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2021</w:t>
            </w:r>
          </w:p>
        </w:tc>
        <w:tc>
          <w:tcPr>
            <w:tcW w:w="817" w:type="dxa"/>
            <w:tcBorders>
              <w:tl2br w:val="nil"/>
              <w:tr2bl w:val="nil"/>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南江县</w:t>
            </w:r>
          </w:p>
        </w:tc>
        <w:tc>
          <w:tcPr>
            <w:tcW w:w="4010" w:type="dxa"/>
            <w:tcBorders>
              <w:tl2br w:val="nil"/>
              <w:tr2bl w:val="nil"/>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完成新建富硒茶</w:t>
            </w:r>
            <w:r>
              <w:rPr>
                <w:rStyle w:val="39"/>
                <w:rFonts w:hint="default" w:ascii="Times New Roman" w:hAnsi="Times New Roman" w:cs="Times New Roman"/>
                <w:color w:val="auto"/>
                <w:lang w:bidi="ar"/>
              </w:rPr>
              <w:t>1</w:t>
            </w:r>
            <w:r>
              <w:rPr>
                <w:rStyle w:val="40"/>
                <w:rFonts w:hint="default" w:ascii="Times New Roman" w:hAnsi="Times New Roman" w:cs="Times New Roman"/>
                <w:color w:val="auto"/>
                <w:lang w:bidi="ar"/>
              </w:rPr>
              <w:t>万亩，配套建设园区道路、水利等基础设施。</w:t>
            </w:r>
          </w:p>
        </w:tc>
        <w:tc>
          <w:tcPr>
            <w:tcW w:w="916"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sz w:val="16"/>
                <w:szCs w:val="16"/>
              </w:rPr>
            </w:pPr>
            <w:r>
              <w:rPr>
                <w:rFonts w:hint="default" w:ascii="Times New Roman" w:hAnsi="Times New Roman" w:cs="Times New Roman"/>
                <w:b/>
                <w:bCs/>
                <w:kern w:val="0"/>
                <w:sz w:val="16"/>
                <w:szCs w:val="16"/>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594"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9</w:t>
            </w:r>
          </w:p>
        </w:tc>
        <w:tc>
          <w:tcPr>
            <w:tcW w:w="1587" w:type="dxa"/>
            <w:tcBorders>
              <w:tl2br w:val="nil"/>
              <w:tr2bl w:val="nil"/>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平昌县茶叶现代农业产业园</w:t>
            </w:r>
          </w:p>
        </w:tc>
        <w:tc>
          <w:tcPr>
            <w:tcW w:w="1059" w:type="dxa"/>
            <w:tcBorders>
              <w:tl2br w:val="nil"/>
              <w:tr2bl w:val="nil"/>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2020-2022</w:t>
            </w:r>
          </w:p>
        </w:tc>
        <w:tc>
          <w:tcPr>
            <w:tcW w:w="817"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平昌县</w:t>
            </w:r>
          </w:p>
        </w:tc>
        <w:tc>
          <w:tcPr>
            <w:tcW w:w="4010" w:type="dxa"/>
            <w:tcBorders>
              <w:tl2br w:val="nil"/>
              <w:tr2bl w:val="nil"/>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16"/>
                <w:szCs w:val="16"/>
              </w:rPr>
            </w:pPr>
            <w:r>
              <w:rPr>
                <w:rFonts w:hint="default" w:ascii="Times New Roman" w:hAnsi="Times New Roman" w:cs="Times New Roman"/>
                <w:kern w:val="0"/>
                <w:sz w:val="16"/>
                <w:szCs w:val="16"/>
                <w:lang w:bidi="ar"/>
              </w:rPr>
              <w:t>建成茶叶基地</w:t>
            </w:r>
            <w:r>
              <w:rPr>
                <w:rStyle w:val="39"/>
                <w:rFonts w:hint="default" w:ascii="Times New Roman" w:hAnsi="Times New Roman" w:cs="Times New Roman"/>
                <w:color w:val="auto"/>
                <w:lang w:bidi="ar"/>
              </w:rPr>
              <w:t>10</w:t>
            </w:r>
            <w:r>
              <w:rPr>
                <w:rStyle w:val="40"/>
                <w:rFonts w:hint="default" w:ascii="Times New Roman" w:hAnsi="Times New Roman" w:cs="Times New Roman"/>
                <w:color w:val="auto"/>
                <w:lang w:bidi="ar"/>
              </w:rPr>
              <w:t>万亩，其中核心示范区</w:t>
            </w:r>
            <w:r>
              <w:rPr>
                <w:rStyle w:val="39"/>
                <w:rFonts w:hint="default" w:ascii="Times New Roman" w:hAnsi="Times New Roman" w:cs="Times New Roman"/>
                <w:color w:val="auto"/>
                <w:lang w:bidi="ar"/>
              </w:rPr>
              <w:t>2.3</w:t>
            </w:r>
            <w:r>
              <w:rPr>
                <w:rStyle w:val="40"/>
                <w:rFonts w:hint="default" w:ascii="Times New Roman" w:hAnsi="Times New Roman" w:cs="Times New Roman"/>
                <w:color w:val="auto"/>
                <w:lang w:bidi="ar"/>
              </w:rPr>
              <w:t>万亩，配套建设园区道路、水利等基础设施。</w:t>
            </w:r>
          </w:p>
        </w:tc>
        <w:tc>
          <w:tcPr>
            <w:tcW w:w="916" w:type="dxa"/>
            <w:tcBorders>
              <w:tl2br w:val="nil"/>
              <w:tr2bl w:val="nil"/>
            </w:tcBorders>
            <w:shd w:val="clear" w:color="auto" w:fill="auto"/>
            <w:noWrap/>
            <w:vAlign w:val="center"/>
          </w:tcPr>
          <w:p>
            <w:pPr>
              <w:widowControl/>
              <w:spacing w:line="200" w:lineRule="exact"/>
              <w:ind w:firstLine="0" w:firstLineChars="0"/>
              <w:jc w:val="center"/>
              <w:textAlignment w:val="center"/>
              <w:rPr>
                <w:rFonts w:hint="default" w:ascii="Times New Roman" w:hAnsi="Times New Roman" w:cs="Times New Roman"/>
                <w:b/>
                <w:bCs/>
                <w:sz w:val="16"/>
                <w:szCs w:val="16"/>
              </w:rPr>
            </w:pPr>
            <w:r>
              <w:rPr>
                <w:rFonts w:hint="default" w:ascii="Times New Roman" w:hAnsi="Times New Roman" w:cs="Times New Roman"/>
                <w:b/>
                <w:bCs/>
                <w:kern w:val="0"/>
                <w:sz w:val="16"/>
                <w:szCs w:val="16"/>
                <w:lang w:bidi="ar"/>
              </w:rPr>
              <w:t>9.17</w:t>
            </w:r>
          </w:p>
        </w:tc>
      </w:tr>
    </w:tbl>
    <w:p>
      <w:pPr>
        <w:pStyle w:val="24"/>
        <w:spacing w:line="240" w:lineRule="auto"/>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 数据来源：《巴中市“十四五”农业农村现代化发展规划》</w:t>
      </w:r>
    </w:p>
    <w:p>
      <w:pPr>
        <w:pStyle w:val="24"/>
        <w:keepNext w:val="0"/>
        <w:keepLines w:val="0"/>
        <w:pageBreakBefore w:val="0"/>
        <w:widowControl w:val="0"/>
        <w:kinsoku/>
        <w:wordWrap/>
        <w:overflowPunct/>
        <w:topLinePunct w:val="0"/>
        <w:autoSpaceDE/>
        <w:autoSpaceDN/>
        <w:bidi w:val="0"/>
        <w:adjustRightInd/>
        <w:snapToGrid/>
        <w:spacing w:line="540" w:lineRule="exact"/>
        <w:ind w:left="0" w:right="0"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 5 \* GB3 \* MERGEFORMAT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⑤</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t xml:space="preserve"> 畜牧渔节水规划</w:t>
      </w:r>
    </w:p>
    <w:p>
      <w:pPr>
        <w:pStyle w:val="3"/>
        <w:keepNext w:val="0"/>
        <w:keepLines w:val="0"/>
        <w:pageBreakBefore w:val="0"/>
        <w:widowControl w:val="0"/>
        <w:kinsoku/>
        <w:wordWrap/>
        <w:overflowPunct/>
        <w:topLinePunct w:val="0"/>
        <w:autoSpaceDE/>
        <w:autoSpaceDN/>
        <w:bidi w:val="0"/>
        <w:adjustRightInd/>
        <w:snapToGrid/>
        <w:spacing w:line="520" w:lineRule="exact"/>
        <w:ind w:left="0" w:right="0"/>
        <w:textAlignment w:val="auto"/>
        <w:rPr>
          <w:rFonts w:hint="default" w:ascii="Times New Roman" w:hAnsi="Times New Roman" w:eastAsia="仿宋_GB2312" w:cs="Times New Roman"/>
          <w:sz w:val="32"/>
          <w:szCs w:val="32"/>
          <w:lang w:val="en-US" w:bidi="ar-SA"/>
        </w:rPr>
      </w:pPr>
      <w:r>
        <w:rPr>
          <w:rFonts w:hint="default" w:ascii="Times New Roman" w:hAnsi="Times New Roman" w:eastAsia="仿宋_GB2312" w:cs="Times New Roman"/>
          <w:sz w:val="32"/>
          <w:szCs w:val="32"/>
          <w:lang w:val="en-US" w:bidi="ar-SA"/>
        </w:rPr>
        <w:t>规划巴中市各区市县实施规模养殖场节水改造和建设，因地制宜推行先进适用的节水型畜禽养殖方式，推广节水型饲喂设备、机械干清粪等技术和工艺。发展节水渔业、牧业，大力推进稻渔综合种养，推广应用池塘工程化循环水等养殖技术。规划到2025年，全市建设3处以上畜牧渔节水示范工程。规划到2035年，各区市县分别建成4处以上畜牧渔节水示范基地。</w:t>
      </w:r>
    </w:p>
    <w:p>
      <w:pPr>
        <w:pStyle w:val="32"/>
        <w:ind w:firstLine="0" w:firstLineChars="0"/>
        <w:jc w:val="center"/>
        <w:rPr>
          <w:rFonts w:hint="default" w:ascii="Times New Roman" w:hAnsi="Times New Roman" w:eastAsia="黑体" w:cs="Times New Roman"/>
          <w:b w:val="0"/>
          <w:sz w:val="24"/>
          <w:szCs w:val="24"/>
        </w:rPr>
      </w:pPr>
      <w:r>
        <w:rPr>
          <w:rFonts w:hint="default" w:ascii="Times New Roman" w:hAnsi="Times New Roman" w:eastAsia="黑体" w:cs="Times New Roman"/>
          <w:b w:val="0"/>
          <w:sz w:val="24"/>
          <w:szCs w:val="24"/>
        </w:rPr>
        <w:t>表5.5  巴中市畜牧渔节水工程项目规划</w:t>
      </w:r>
    </w:p>
    <w:tbl>
      <w:tblPr>
        <w:tblStyle w:val="18"/>
        <w:tblW w:w="8943" w:type="dxa"/>
        <w:tblInd w:w="0" w:type="dxa"/>
        <w:tblLayout w:type="fixed"/>
        <w:tblCellMar>
          <w:top w:w="0" w:type="dxa"/>
          <w:left w:w="108" w:type="dxa"/>
          <w:bottom w:w="0" w:type="dxa"/>
          <w:right w:w="108" w:type="dxa"/>
        </w:tblCellMar>
      </w:tblPr>
      <w:tblGrid>
        <w:gridCol w:w="618"/>
        <w:gridCol w:w="1449"/>
        <w:gridCol w:w="966"/>
        <w:gridCol w:w="759"/>
        <w:gridCol w:w="3681"/>
        <w:gridCol w:w="773"/>
        <w:gridCol w:w="697"/>
      </w:tblGrid>
      <w:tr>
        <w:tblPrEx>
          <w:tblCellMar>
            <w:top w:w="0" w:type="dxa"/>
            <w:left w:w="108" w:type="dxa"/>
            <w:bottom w:w="0" w:type="dxa"/>
            <w:right w:w="108" w:type="dxa"/>
          </w:tblCellMar>
        </w:tblPrEx>
        <w:trPr>
          <w:trHeight w:val="429" w:hRule="atLeast"/>
        </w:trPr>
        <w:tc>
          <w:tcPr>
            <w:tcW w:w="618"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kern w:val="0"/>
                <w:sz w:val="20"/>
                <w:szCs w:val="20"/>
                <w:lang w:bidi="ar"/>
              </w:rPr>
            </w:pPr>
            <w:r>
              <w:rPr>
                <w:rFonts w:hint="default" w:ascii="Times New Roman" w:hAnsi="Times New Roman" w:eastAsia="宋体" w:cs="Times New Roman"/>
                <w:b/>
                <w:bCs/>
                <w:kern w:val="0"/>
                <w:sz w:val="20"/>
                <w:szCs w:val="20"/>
                <w:lang w:bidi="ar"/>
              </w:rPr>
              <w:t>序号</w:t>
            </w:r>
          </w:p>
        </w:tc>
        <w:tc>
          <w:tcPr>
            <w:tcW w:w="144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kern w:val="0"/>
                <w:sz w:val="18"/>
                <w:szCs w:val="18"/>
                <w:lang w:bidi="ar"/>
              </w:rPr>
            </w:pPr>
            <w:r>
              <w:rPr>
                <w:rFonts w:hint="default" w:ascii="Times New Roman" w:hAnsi="Times New Roman" w:eastAsia="宋体" w:cs="Times New Roman"/>
                <w:b/>
                <w:bCs/>
                <w:kern w:val="0"/>
                <w:sz w:val="18"/>
                <w:szCs w:val="18"/>
                <w:lang w:bidi="ar"/>
              </w:rPr>
              <w:t>名称</w:t>
            </w:r>
          </w:p>
        </w:tc>
        <w:tc>
          <w:tcPr>
            <w:tcW w:w="96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kern w:val="0"/>
                <w:sz w:val="18"/>
                <w:szCs w:val="18"/>
                <w:lang w:bidi="ar"/>
              </w:rPr>
            </w:pPr>
            <w:r>
              <w:rPr>
                <w:rFonts w:hint="default" w:ascii="Times New Roman" w:hAnsi="Times New Roman" w:eastAsia="宋体" w:cs="Times New Roman"/>
                <w:b/>
                <w:bCs/>
                <w:kern w:val="0"/>
                <w:sz w:val="18"/>
                <w:szCs w:val="18"/>
                <w:lang w:bidi="ar"/>
              </w:rPr>
              <w:t>实施年限</w:t>
            </w:r>
          </w:p>
        </w:tc>
        <w:tc>
          <w:tcPr>
            <w:tcW w:w="75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kern w:val="0"/>
                <w:sz w:val="18"/>
                <w:szCs w:val="18"/>
                <w:lang w:bidi="ar"/>
              </w:rPr>
            </w:pPr>
            <w:r>
              <w:rPr>
                <w:rFonts w:hint="default" w:ascii="Times New Roman" w:hAnsi="Times New Roman" w:eastAsia="宋体" w:cs="Times New Roman"/>
                <w:b/>
                <w:bCs/>
                <w:kern w:val="0"/>
                <w:sz w:val="18"/>
                <w:szCs w:val="18"/>
                <w:lang w:bidi="ar"/>
              </w:rPr>
              <w:t>行政区</w:t>
            </w:r>
          </w:p>
        </w:tc>
        <w:tc>
          <w:tcPr>
            <w:tcW w:w="3681"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kern w:val="0"/>
                <w:sz w:val="18"/>
                <w:szCs w:val="18"/>
                <w:lang w:bidi="ar"/>
              </w:rPr>
            </w:pPr>
            <w:r>
              <w:rPr>
                <w:rFonts w:hint="default" w:ascii="Times New Roman" w:hAnsi="Times New Roman" w:eastAsia="宋体" w:cs="Times New Roman"/>
                <w:b/>
                <w:bCs/>
                <w:kern w:val="0"/>
                <w:sz w:val="18"/>
                <w:szCs w:val="18"/>
                <w:lang w:bidi="ar"/>
              </w:rPr>
              <w:t>实施内容</w:t>
            </w:r>
          </w:p>
        </w:tc>
        <w:tc>
          <w:tcPr>
            <w:tcW w:w="773"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bCs/>
                <w:kern w:val="0"/>
                <w:sz w:val="18"/>
                <w:szCs w:val="18"/>
                <w:lang w:eastAsia="zh-CN" w:bidi="ar"/>
              </w:rPr>
            </w:pPr>
            <w:r>
              <w:rPr>
                <w:rFonts w:hint="default" w:ascii="Times New Roman" w:hAnsi="Times New Roman" w:eastAsia="宋体" w:cs="Times New Roman"/>
                <w:b/>
                <w:bCs/>
                <w:kern w:val="0"/>
                <w:sz w:val="18"/>
                <w:szCs w:val="18"/>
                <w:lang w:bidi="ar"/>
              </w:rPr>
              <w:t>投资</w:t>
            </w:r>
          </w:p>
          <w:p>
            <w:pPr>
              <w:widowControl/>
              <w:spacing w:line="240" w:lineRule="auto"/>
              <w:ind w:firstLine="0" w:firstLineChars="0"/>
              <w:jc w:val="center"/>
              <w:textAlignment w:val="center"/>
              <w:rPr>
                <w:rFonts w:hint="default" w:ascii="Times New Roman" w:hAnsi="Times New Roman" w:eastAsia="宋体" w:cs="Times New Roman"/>
                <w:b/>
                <w:bCs/>
                <w:kern w:val="0"/>
                <w:sz w:val="18"/>
                <w:szCs w:val="18"/>
                <w:lang w:bidi="ar"/>
              </w:rPr>
            </w:pPr>
            <w:r>
              <w:rPr>
                <w:rFonts w:hint="default" w:ascii="Times New Roman" w:hAnsi="Times New Roman" w:eastAsia="宋体" w:cs="Times New Roman"/>
                <w:b/>
                <w:bCs/>
                <w:kern w:val="0"/>
                <w:sz w:val="18"/>
                <w:szCs w:val="18"/>
                <w:lang w:bidi="ar"/>
              </w:rPr>
              <w:t>(亿元)</w:t>
            </w:r>
          </w:p>
        </w:tc>
        <w:tc>
          <w:tcPr>
            <w:tcW w:w="697"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kern w:val="0"/>
                <w:sz w:val="18"/>
                <w:szCs w:val="18"/>
                <w:lang w:bidi="ar"/>
              </w:rPr>
            </w:pPr>
            <w:r>
              <w:rPr>
                <w:rFonts w:hint="default" w:ascii="Times New Roman" w:hAnsi="Times New Roman" w:eastAsia="宋体" w:cs="Times New Roman"/>
                <w:b/>
                <w:bCs/>
                <w:kern w:val="0"/>
                <w:sz w:val="18"/>
                <w:szCs w:val="18"/>
                <w:lang w:bidi="ar"/>
              </w:rPr>
              <w:t>备注</w:t>
            </w:r>
          </w:p>
        </w:tc>
      </w:tr>
      <w:tr>
        <w:tblPrEx>
          <w:tblCellMar>
            <w:top w:w="0" w:type="dxa"/>
            <w:left w:w="108" w:type="dxa"/>
            <w:bottom w:w="0" w:type="dxa"/>
            <w:right w:w="108" w:type="dxa"/>
          </w:tblCellMar>
        </w:tblPrEx>
        <w:trPr>
          <w:trHeight w:val="429" w:hRule="atLeast"/>
        </w:trPr>
        <w:tc>
          <w:tcPr>
            <w:tcW w:w="61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通江县生猪养殖一体化项目</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2021-2023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通江县</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新建青峪猪种质资源场1个、11万头优质仔猪繁育场1个，年出栏5000头以上规模养殖场3个，年出栏1000头规模养殖场15个，园区配套相关节水设施。</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12</w:t>
            </w:r>
          </w:p>
        </w:tc>
        <w:tc>
          <w:tcPr>
            <w:tcW w:w="697"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畜牧业</w:t>
            </w:r>
          </w:p>
        </w:tc>
      </w:tr>
      <w:tr>
        <w:tblPrEx>
          <w:tblCellMar>
            <w:top w:w="0" w:type="dxa"/>
            <w:left w:w="108" w:type="dxa"/>
            <w:bottom w:w="0" w:type="dxa"/>
            <w:right w:w="108" w:type="dxa"/>
          </w:tblCellMar>
        </w:tblPrEx>
        <w:trPr>
          <w:trHeight w:val="272" w:hRule="atLeast"/>
        </w:trPr>
        <w:tc>
          <w:tcPr>
            <w:tcW w:w="61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2</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江口青鳙现代渔业示范区建设</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2021-2023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平昌县</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建“江口青鳙”原种繁育场1个，扩建繁育塘300亩，标准化养殖基地2000亩，园区配套相关节水设施。</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3</w:t>
            </w:r>
          </w:p>
        </w:tc>
        <w:tc>
          <w:tcPr>
            <w:tcW w:w="697"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渔业</w:t>
            </w:r>
          </w:p>
        </w:tc>
      </w:tr>
      <w:tr>
        <w:tblPrEx>
          <w:tblCellMar>
            <w:top w:w="0" w:type="dxa"/>
            <w:left w:w="108" w:type="dxa"/>
            <w:bottom w:w="0" w:type="dxa"/>
            <w:right w:w="108" w:type="dxa"/>
          </w:tblCellMar>
        </w:tblPrEx>
        <w:trPr>
          <w:trHeight w:val="429" w:hRule="atLeast"/>
        </w:trPr>
        <w:tc>
          <w:tcPr>
            <w:tcW w:w="61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3</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巴州区曾口“猪+柑橘”现代农业产业园</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2022-2023</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巴州区</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建成能繁母猪存栏数6550头，生猪出栏数14.2万头的集中养殖场，巩固提升柑橘基地3100亩，土地平整1500亩、畜禽粪污处理池500平方米，园区配套相关节水设施。</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5.5</w:t>
            </w:r>
          </w:p>
        </w:tc>
        <w:tc>
          <w:tcPr>
            <w:tcW w:w="697"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畜牧业</w:t>
            </w:r>
          </w:p>
        </w:tc>
      </w:tr>
      <w:tr>
        <w:tblPrEx>
          <w:tblCellMar>
            <w:top w:w="0" w:type="dxa"/>
            <w:left w:w="108" w:type="dxa"/>
            <w:bottom w:w="0" w:type="dxa"/>
            <w:right w:w="108" w:type="dxa"/>
          </w:tblCellMar>
        </w:tblPrEx>
        <w:trPr>
          <w:trHeight w:val="429" w:hRule="atLeast"/>
        </w:trPr>
        <w:tc>
          <w:tcPr>
            <w:tcW w:w="61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4</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恩阳区生态畜禽现代农业园区</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2021-2023</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恩阳区</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新（改）建20个新型生猪标准化种养循环基地、3个土鸡养殖场、1个南江黄羊扩繁基地、10个生态牛羊养殖基地,种植优质饲草1万亩，园区配套相关节水设施。</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4</w:t>
            </w:r>
          </w:p>
        </w:tc>
        <w:tc>
          <w:tcPr>
            <w:tcW w:w="697"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畜牧业</w:t>
            </w:r>
          </w:p>
        </w:tc>
      </w:tr>
      <w:tr>
        <w:tblPrEx>
          <w:tblCellMar>
            <w:top w:w="0" w:type="dxa"/>
            <w:left w:w="108" w:type="dxa"/>
            <w:bottom w:w="0" w:type="dxa"/>
            <w:right w:w="108" w:type="dxa"/>
          </w:tblCellMar>
        </w:tblPrEx>
        <w:trPr>
          <w:trHeight w:val="429" w:hRule="atLeast"/>
        </w:trPr>
        <w:tc>
          <w:tcPr>
            <w:tcW w:w="61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5</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南江县国家现代农业产业园（黄羊）</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2020-2022</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南江县</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建设南江黄羊育种创新中心，性能测定站1处，核心育种场4个，一级扩繁场6个；新建一批适度规模羊场，建设优质牧草生产示范基地1万亩以上。园区配套相关节水设施。</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9.06</w:t>
            </w:r>
          </w:p>
        </w:tc>
        <w:tc>
          <w:tcPr>
            <w:tcW w:w="697"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畜牧业</w:t>
            </w:r>
          </w:p>
        </w:tc>
      </w:tr>
      <w:tr>
        <w:tblPrEx>
          <w:tblCellMar>
            <w:top w:w="0" w:type="dxa"/>
            <w:left w:w="108" w:type="dxa"/>
            <w:bottom w:w="0" w:type="dxa"/>
            <w:right w:w="108" w:type="dxa"/>
          </w:tblCellMar>
        </w:tblPrEx>
        <w:trPr>
          <w:trHeight w:val="429" w:hRule="atLeast"/>
        </w:trPr>
        <w:tc>
          <w:tcPr>
            <w:tcW w:w="61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6</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恩阳区“鱼米之乡”建设</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2026-2035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恩阳区</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拟建稻渔综合种养基地2万亩，其中，相对集中连片2万亩，辐射带动全区发展稻渔综合种养8万亩。园区配套相关节水设施。</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w:t>
            </w:r>
          </w:p>
        </w:tc>
        <w:tc>
          <w:tcPr>
            <w:tcW w:w="697"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渔业</w:t>
            </w:r>
          </w:p>
        </w:tc>
      </w:tr>
      <w:tr>
        <w:tblPrEx>
          <w:tblCellMar>
            <w:top w:w="0" w:type="dxa"/>
            <w:left w:w="108" w:type="dxa"/>
            <w:bottom w:w="0" w:type="dxa"/>
            <w:right w:w="108" w:type="dxa"/>
          </w:tblCellMar>
        </w:tblPrEx>
        <w:trPr>
          <w:trHeight w:val="429" w:hRule="atLeast"/>
        </w:trPr>
        <w:tc>
          <w:tcPr>
            <w:tcW w:w="61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7</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通江县青峪猪现代农业园区</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2026-2035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通江县</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新（改）建青峪猪原种场1个、扩繁场3个，建成年出栏30万头青峪猪标准化养殖场125个，园区配套相关节水设施。</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5</w:t>
            </w:r>
          </w:p>
        </w:tc>
        <w:tc>
          <w:tcPr>
            <w:tcW w:w="697"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畜牧业</w:t>
            </w:r>
          </w:p>
        </w:tc>
      </w:tr>
      <w:tr>
        <w:tblPrEx>
          <w:tblCellMar>
            <w:top w:w="0" w:type="dxa"/>
            <w:left w:w="108" w:type="dxa"/>
            <w:bottom w:w="0" w:type="dxa"/>
            <w:right w:w="108" w:type="dxa"/>
          </w:tblCellMar>
        </w:tblPrEx>
        <w:trPr>
          <w:trHeight w:val="429" w:hRule="atLeast"/>
        </w:trPr>
        <w:tc>
          <w:tcPr>
            <w:tcW w:w="61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8</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巴山牛繁育产业园和饲草料加工基地建设项目</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2026-2035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通江县</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项目占地约1000亩，种植饲草料700亩，建设育种区、繁育区、育肥区、生态活动区圈舍31000平方米，年产优质空山黄牛1.2万头，优质饲草料10万吨。</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1.5</w:t>
            </w:r>
          </w:p>
        </w:tc>
        <w:tc>
          <w:tcPr>
            <w:tcW w:w="697"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畜牧业</w:t>
            </w:r>
          </w:p>
        </w:tc>
      </w:tr>
      <w:tr>
        <w:tblPrEx>
          <w:tblCellMar>
            <w:top w:w="0" w:type="dxa"/>
            <w:left w:w="108" w:type="dxa"/>
            <w:bottom w:w="0" w:type="dxa"/>
            <w:right w:w="108" w:type="dxa"/>
          </w:tblCellMar>
        </w:tblPrEx>
        <w:trPr>
          <w:trHeight w:val="444" w:hRule="atLeast"/>
        </w:trPr>
        <w:tc>
          <w:tcPr>
            <w:tcW w:w="61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9</w:t>
            </w:r>
          </w:p>
        </w:tc>
        <w:tc>
          <w:tcPr>
            <w:tcW w:w="1449"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现代肉牛+牧草+粮油种养循环产业园</w:t>
            </w:r>
          </w:p>
        </w:tc>
        <w:tc>
          <w:tcPr>
            <w:tcW w:w="966"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2026-2035</w:t>
            </w:r>
          </w:p>
        </w:tc>
        <w:tc>
          <w:tcPr>
            <w:tcW w:w="759"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平昌县</w:t>
            </w:r>
          </w:p>
        </w:tc>
        <w:tc>
          <w:tcPr>
            <w:tcW w:w="3681"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规模发展优质巴山牛5万头，配套种植牧草10万亩，循环发展优质粮油20万亩，园区配套相关节水设施。</w:t>
            </w:r>
          </w:p>
        </w:tc>
        <w:tc>
          <w:tcPr>
            <w:tcW w:w="773"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2</w:t>
            </w:r>
          </w:p>
        </w:tc>
        <w:tc>
          <w:tcPr>
            <w:tcW w:w="697"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kern w:val="0"/>
                <w:sz w:val="16"/>
                <w:szCs w:val="16"/>
                <w:lang w:bidi="ar"/>
              </w:rPr>
            </w:pPr>
            <w:r>
              <w:rPr>
                <w:rFonts w:hint="default" w:ascii="Times New Roman" w:hAnsi="Times New Roman" w:cs="Times New Roman"/>
                <w:kern w:val="0"/>
                <w:sz w:val="16"/>
                <w:szCs w:val="16"/>
                <w:lang w:bidi="ar"/>
              </w:rPr>
              <w:t>畜牧业</w:t>
            </w:r>
          </w:p>
        </w:tc>
      </w:tr>
    </w:tbl>
    <w:p>
      <w:pPr>
        <w:pStyle w:val="24"/>
        <w:spacing w:line="240" w:lineRule="auto"/>
        <w:rPr>
          <w:rFonts w:hint="default" w:ascii="Times New Roman" w:hAnsi="Times New Roman" w:eastAsia="黑体" w:cs="Times New Roman"/>
        </w:rPr>
      </w:pPr>
      <w:r>
        <w:rPr>
          <w:rFonts w:hint="default" w:ascii="Times New Roman" w:hAnsi="Times New Roman" w:eastAsia="黑体" w:cs="Times New Roman"/>
          <w:sz w:val="21"/>
          <w:szCs w:val="21"/>
        </w:rPr>
        <w:t>* 数据来源：</w:t>
      </w:r>
      <w:r>
        <w:rPr>
          <w:rFonts w:hint="default" w:ascii="Times New Roman" w:hAnsi="Times New Roman" w:eastAsia="黑体" w:cs="Times New Roman"/>
          <w:b w:val="0"/>
          <w:bCs/>
          <w:sz w:val="21"/>
          <w:szCs w:val="21"/>
        </w:rPr>
        <w:t>《巴中市“十四五”农业农村现代化发展规划》</w:t>
      </w:r>
    </w:p>
    <w:p>
      <w:pPr>
        <w:pStyle w:val="2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 6 \* GB3 \* MERGEFORMAT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⑥</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t xml:space="preserve"> 农村生活节水规划</w:t>
      </w:r>
    </w:p>
    <w:p>
      <w:pPr>
        <w:pStyle w:val="24"/>
        <w:keepNext w:val="0"/>
        <w:keepLines w:val="0"/>
        <w:pageBreakBefore w:val="0"/>
        <w:widowControl w:val="0"/>
        <w:kinsoku/>
        <w:wordWrap/>
        <w:overflowPunct/>
        <w:topLinePunct w:val="0"/>
        <w:autoSpaceDE/>
        <w:autoSpaceDN/>
        <w:bidi w:val="0"/>
        <w:adjustRightInd/>
        <w:snapToGrid/>
        <w:spacing w:line="560" w:lineRule="exact"/>
        <w:ind w:right="520" w:firstLine="640" w:firstLineChars="200"/>
        <w:textAlignment w:val="auto"/>
        <w:outlineLvl w:val="9"/>
        <w:rPr>
          <w:rFonts w:hint="default" w:ascii="Times New Roman" w:hAnsi="Times New Roman" w:eastAsia="仿宋_GB2312" w:cs="Times New Roman"/>
          <w:b w:val="0"/>
          <w:sz w:val="32"/>
          <w:szCs w:val="32"/>
        </w:rPr>
      </w:pPr>
      <w:r>
        <w:rPr>
          <w:rFonts w:hint="default" w:ascii="Times New Roman" w:hAnsi="Times New Roman" w:eastAsia="仿宋_GB2312" w:cs="Times New Roman"/>
          <w:b w:val="0"/>
          <w:sz w:val="32"/>
          <w:szCs w:val="32"/>
        </w:rPr>
        <w:t>规划巴中市各区市县在实施农村集中供水、污水处理工程和保障饮用水安全基础上，加强农村生活用水设施改造，在有条件的地区推动计量收费。重点加快村镇生活供水设施及配套管网建设与改造，推进农村“厕所革命”，推广使用节水器具，创造良好节水条件。</w:t>
      </w:r>
    </w:p>
    <w:p>
      <w:pPr>
        <w:pStyle w:val="32"/>
        <w:ind w:firstLine="480"/>
        <w:jc w:val="center"/>
        <w:rPr>
          <w:rFonts w:hint="default" w:ascii="Times New Roman" w:hAnsi="Times New Roman" w:cs="Times New Roman"/>
        </w:rPr>
      </w:pPr>
      <w:r>
        <w:rPr>
          <w:rFonts w:hint="default" w:ascii="Times New Roman" w:hAnsi="Times New Roman" w:eastAsia="黑体" w:cs="Times New Roman"/>
          <w:b w:val="0"/>
          <w:sz w:val="24"/>
          <w:szCs w:val="24"/>
        </w:rPr>
        <w:t>表5.6 巴中市农村生活节水规划项目</w:t>
      </w:r>
    </w:p>
    <w:tbl>
      <w:tblPr>
        <w:tblStyle w:val="18"/>
        <w:tblW w:w="8865" w:type="dxa"/>
        <w:jc w:val="center"/>
        <w:tblLayout w:type="fixed"/>
        <w:tblCellMar>
          <w:top w:w="0" w:type="dxa"/>
          <w:left w:w="108" w:type="dxa"/>
          <w:bottom w:w="0" w:type="dxa"/>
          <w:right w:w="108" w:type="dxa"/>
        </w:tblCellMar>
      </w:tblPr>
      <w:tblGrid>
        <w:gridCol w:w="712"/>
        <w:gridCol w:w="1451"/>
        <w:gridCol w:w="1069"/>
        <w:gridCol w:w="784"/>
        <w:gridCol w:w="3918"/>
        <w:gridCol w:w="931"/>
      </w:tblGrid>
      <w:tr>
        <w:tblPrEx>
          <w:tblCellMar>
            <w:top w:w="0" w:type="dxa"/>
            <w:left w:w="108" w:type="dxa"/>
            <w:bottom w:w="0" w:type="dxa"/>
            <w:right w:w="108" w:type="dxa"/>
          </w:tblCellMar>
        </w:tblPrEx>
        <w:trPr>
          <w:trHeight w:val="9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sz w:val="18"/>
                <w:szCs w:val="18"/>
              </w:rPr>
            </w:pPr>
            <w:r>
              <w:rPr>
                <w:rFonts w:hint="default" w:ascii="Times New Roman" w:hAnsi="Times New Roman" w:eastAsia="宋体" w:cs="Times New Roman"/>
                <w:b/>
                <w:bCs/>
                <w:kern w:val="0"/>
                <w:sz w:val="18"/>
                <w:szCs w:val="18"/>
                <w:lang w:bidi="ar"/>
              </w:rPr>
              <w:t>序号</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sz w:val="18"/>
                <w:szCs w:val="18"/>
              </w:rPr>
            </w:pPr>
            <w:r>
              <w:rPr>
                <w:rFonts w:hint="default" w:ascii="Times New Roman" w:hAnsi="Times New Roman" w:eastAsia="宋体" w:cs="Times New Roman"/>
                <w:b/>
                <w:bCs/>
                <w:kern w:val="0"/>
                <w:sz w:val="18"/>
                <w:szCs w:val="18"/>
                <w:lang w:bidi="ar"/>
              </w:rPr>
              <w:t>名称</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sz w:val="18"/>
                <w:szCs w:val="18"/>
              </w:rPr>
            </w:pPr>
            <w:r>
              <w:rPr>
                <w:rFonts w:hint="default" w:ascii="Times New Roman" w:hAnsi="Times New Roman" w:eastAsia="宋体" w:cs="Times New Roman"/>
                <w:b/>
                <w:bCs/>
                <w:kern w:val="0"/>
                <w:sz w:val="18"/>
                <w:szCs w:val="18"/>
                <w:lang w:bidi="ar"/>
              </w:rPr>
              <w:t>实施年限</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sz w:val="18"/>
                <w:szCs w:val="18"/>
              </w:rPr>
            </w:pPr>
            <w:r>
              <w:rPr>
                <w:rFonts w:hint="default" w:ascii="Times New Roman" w:hAnsi="Times New Roman" w:eastAsia="宋体" w:cs="Times New Roman"/>
                <w:b/>
                <w:bCs/>
                <w:kern w:val="0"/>
                <w:sz w:val="18"/>
                <w:szCs w:val="18"/>
                <w:lang w:bidi="ar"/>
              </w:rPr>
              <w:t>行政区</w:t>
            </w:r>
          </w:p>
        </w:tc>
        <w:tc>
          <w:tcPr>
            <w:tcW w:w="3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sz w:val="18"/>
                <w:szCs w:val="18"/>
              </w:rPr>
            </w:pPr>
            <w:r>
              <w:rPr>
                <w:rFonts w:hint="default" w:ascii="Times New Roman" w:hAnsi="Times New Roman" w:eastAsia="宋体" w:cs="Times New Roman"/>
                <w:b/>
                <w:bCs/>
                <w:kern w:val="0"/>
                <w:sz w:val="18"/>
                <w:szCs w:val="18"/>
                <w:lang w:bidi="ar"/>
              </w:rPr>
              <w:t>实施内容</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kern w:val="0"/>
                <w:sz w:val="18"/>
                <w:szCs w:val="18"/>
                <w:lang w:bidi="ar"/>
              </w:rPr>
            </w:pPr>
            <w:r>
              <w:rPr>
                <w:rFonts w:hint="default" w:ascii="Times New Roman" w:hAnsi="Times New Roman" w:eastAsia="宋体" w:cs="Times New Roman"/>
                <w:b/>
                <w:bCs/>
                <w:kern w:val="0"/>
                <w:sz w:val="18"/>
                <w:szCs w:val="18"/>
                <w:lang w:bidi="ar"/>
              </w:rPr>
              <w:t>投资</w:t>
            </w:r>
          </w:p>
          <w:p>
            <w:pPr>
              <w:widowControl/>
              <w:spacing w:line="240" w:lineRule="auto"/>
              <w:ind w:firstLine="0" w:firstLineChars="0"/>
              <w:jc w:val="center"/>
              <w:textAlignment w:val="center"/>
              <w:rPr>
                <w:rFonts w:hint="default" w:ascii="Times New Roman" w:hAnsi="Times New Roman" w:eastAsia="宋体" w:cs="Times New Roman"/>
                <w:b/>
                <w:bCs/>
                <w:sz w:val="18"/>
                <w:szCs w:val="18"/>
              </w:rPr>
            </w:pPr>
            <w:r>
              <w:rPr>
                <w:rFonts w:hint="default" w:ascii="Times New Roman" w:hAnsi="Times New Roman" w:eastAsia="宋体" w:cs="Times New Roman"/>
                <w:b/>
                <w:bCs/>
                <w:kern w:val="0"/>
                <w:sz w:val="18"/>
                <w:szCs w:val="18"/>
                <w:lang w:bidi="ar"/>
              </w:rPr>
              <w:t>（亿元）</w:t>
            </w:r>
          </w:p>
        </w:tc>
      </w:tr>
      <w:tr>
        <w:tblPrEx>
          <w:tblCellMar>
            <w:top w:w="0" w:type="dxa"/>
            <w:left w:w="108" w:type="dxa"/>
            <w:bottom w:w="0" w:type="dxa"/>
            <w:right w:w="108" w:type="dxa"/>
          </w:tblCellMar>
        </w:tblPrEx>
        <w:trPr>
          <w:trHeight w:val="844"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农村生活节水器具推广</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2021-2035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全市</w:t>
            </w:r>
          </w:p>
        </w:tc>
        <w:tc>
          <w:tcPr>
            <w:tcW w:w="3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推进农村节水器具推广，到2025年实现节水器具普及率80%，到2035年实现节水器具普及率95%以上。</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3</w:t>
            </w:r>
          </w:p>
        </w:tc>
      </w:tr>
      <w:tr>
        <w:tblPrEx>
          <w:tblCellMar>
            <w:top w:w="0" w:type="dxa"/>
            <w:left w:w="108" w:type="dxa"/>
            <w:bottom w:w="0" w:type="dxa"/>
            <w:right w:w="108" w:type="dxa"/>
          </w:tblCellMar>
        </w:tblPrEx>
        <w:trPr>
          <w:trHeight w:val="716"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农村“厕所革命”整村推进示范村*</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2021-2035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全市</w:t>
            </w:r>
          </w:p>
        </w:tc>
        <w:tc>
          <w:tcPr>
            <w:tcW w:w="3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继续推进农村“厕所革命”整村推进示范村建设，力争2025年实现二类地区全覆盖、三类地区覆盖率达80%以上，2035年覆盖率达95%以上。</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4.5</w:t>
            </w:r>
          </w:p>
        </w:tc>
      </w:tr>
    </w:tbl>
    <w:p>
      <w:pPr>
        <w:pStyle w:val="24"/>
        <w:spacing w:line="240" w:lineRule="auto"/>
        <w:rPr>
          <w:rFonts w:hint="default" w:ascii="Times New Roman" w:hAnsi="Times New Roman" w:cs="Times New Roman"/>
        </w:rPr>
      </w:pPr>
      <w:r>
        <w:rPr>
          <w:rFonts w:hint="default" w:ascii="Times New Roman" w:hAnsi="Times New Roman" w:eastAsia="黑体" w:cs="Times New Roman"/>
          <w:sz w:val="21"/>
          <w:szCs w:val="21"/>
        </w:rPr>
        <w:t>* 数据来源：</w:t>
      </w:r>
      <w:r>
        <w:rPr>
          <w:rFonts w:hint="default" w:ascii="Times New Roman" w:hAnsi="Times New Roman" w:eastAsia="黑体" w:cs="Times New Roman"/>
          <w:b w:val="0"/>
          <w:bCs/>
          <w:sz w:val="21"/>
          <w:szCs w:val="21"/>
        </w:rPr>
        <w:t>《巴中市“十四五”农业农村现代化发展规划》</w:t>
      </w:r>
    </w:p>
    <w:p>
      <w:pPr>
        <w:pStyle w:val="5"/>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color w:val="auto"/>
          <w:sz w:val="32"/>
          <w:szCs w:val="32"/>
        </w:rPr>
      </w:pPr>
      <w:bookmarkStart w:id="175" w:name="_Toc15047"/>
      <w:bookmarkStart w:id="176" w:name="_Toc5358"/>
      <w:bookmarkStart w:id="177" w:name="_Toc25844"/>
      <w:bookmarkStart w:id="178" w:name="_Toc14467"/>
      <w:bookmarkStart w:id="179" w:name="_Toc20367"/>
      <w:bookmarkStart w:id="180" w:name="_Toc100673820"/>
      <w:r>
        <w:rPr>
          <w:rFonts w:hint="eastAsia" w:ascii="楷体_GB2312" w:hAnsi="楷体_GB2312" w:eastAsia="楷体_GB2312" w:cs="楷体_GB2312"/>
          <w:color w:val="auto"/>
          <w:sz w:val="32"/>
          <w:szCs w:val="32"/>
        </w:rPr>
        <w:t>（二）工业</w:t>
      </w:r>
      <w:bookmarkEnd w:id="175"/>
      <w:bookmarkEnd w:id="176"/>
      <w:r>
        <w:rPr>
          <w:rFonts w:hint="eastAsia" w:ascii="楷体_GB2312" w:hAnsi="楷体_GB2312" w:eastAsia="楷体_GB2312" w:cs="楷体_GB2312"/>
          <w:color w:val="auto"/>
          <w:sz w:val="32"/>
          <w:szCs w:val="32"/>
        </w:rPr>
        <w:t>节水工程</w:t>
      </w:r>
      <w:bookmarkEnd w:id="177"/>
      <w:bookmarkEnd w:id="178"/>
      <w:bookmarkEnd w:id="179"/>
      <w:bookmarkEnd w:id="180"/>
    </w:p>
    <w:p>
      <w:pPr>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（1）规划目标</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以推动高质量发展为主线，巴中市加快建设以食品饮料、生物医药、新能源新材料3大工业主导产业为重点、绿色协调为核心竞争力的现代产业体系，加快建设“一平台两品牌三集群四基地”，实现“十亿企业、百亿园区、千亿产业”目标，初步建成以绿色为核心竞争力的现代工业体系。</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到2025年，巴中市年用水量1万m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及以上的工业企业全部实行计划用水管理制度，完善工业企业供用水计量体系和在线监测，强化生产用水全过程管理。重点企业要定期开展水平衡测试、用水审计及水效对标，并纳入节水目标管理。全市万元国内生产总值用水量、万元工业增加值用水量较2020年下降16%，规模以上工业用水重复利用率达到93%以上，重点用水行业节水型企业建成率达到50%以上。</w:t>
      </w:r>
    </w:p>
    <w:p>
      <w:pPr>
        <w:pStyle w:val="32"/>
        <w:ind w:firstLine="0" w:firstLineChars="0"/>
        <w:jc w:val="center"/>
        <w:rPr>
          <w:rFonts w:hint="default" w:ascii="Times New Roman" w:hAnsi="Times New Roman" w:eastAsia="黑体" w:cs="Times New Roman"/>
          <w:b w:val="0"/>
          <w:sz w:val="24"/>
          <w:szCs w:val="24"/>
        </w:rPr>
      </w:pPr>
      <w:r>
        <w:rPr>
          <w:rFonts w:hint="default" w:ascii="Times New Roman" w:hAnsi="Times New Roman" w:eastAsia="黑体" w:cs="Times New Roman"/>
          <w:b w:val="0"/>
          <w:sz w:val="24"/>
          <w:szCs w:val="24"/>
        </w:rPr>
        <w:t>表5.7 巴中市工业节水目标</w:t>
      </w:r>
    </w:p>
    <w:tbl>
      <w:tblPr>
        <w:tblStyle w:val="19"/>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2"/>
        <w:gridCol w:w="1784"/>
        <w:gridCol w:w="1654"/>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892" w:type="dxa"/>
            <w:vAlign w:val="center"/>
          </w:tcPr>
          <w:p>
            <w:pPr>
              <w:spacing w:line="320" w:lineRule="exact"/>
              <w:ind w:firstLine="0" w:firstLineChars="0"/>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指  标</w:t>
            </w:r>
          </w:p>
        </w:tc>
        <w:tc>
          <w:tcPr>
            <w:tcW w:w="1784" w:type="dxa"/>
            <w:vAlign w:val="center"/>
          </w:tcPr>
          <w:p>
            <w:pPr>
              <w:spacing w:line="320" w:lineRule="exact"/>
              <w:ind w:firstLine="0" w:firstLineChars="0"/>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2020年</w:t>
            </w:r>
          </w:p>
        </w:tc>
        <w:tc>
          <w:tcPr>
            <w:tcW w:w="1654" w:type="dxa"/>
            <w:vAlign w:val="center"/>
          </w:tcPr>
          <w:p>
            <w:pPr>
              <w:spacing w:line="320" w:lineRule="exact"/>
              <w:ind w:firstLine="0" w:firstLineChars="0"/>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2025年</w:t>
            </w:r>
          </w:p>
        </w:tc>
        <w:tc>
          <w:tcPr>
            <w:tcW w:w="2312" w:type="dxa"/>
            <w:vAlign w:val="center"/>
          </w:tcPr>
          <w:p>
            <w:pPr>
              <w:spacing w:line="320" w:lineRule="exact"/>
              <w:ind w:firstLine="0" w:firstLineChars="0"/>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892" w:type="dxa"/>
            <w:vAlign w:val="center"/>
          </w:tcPr>
          <w:p>
            <w:pPr>
              <w:spacing w:line="320" w:lineRule="exac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万元国内生产总值用水量</w:t>
            </w:r>
          </w:p>
        </w:tc>
        <w:tc>
          <w:tcPr>
            <w:tcW w:w="1784" w:type="dxa"/>
            <w:vAlign w:val="center"/>
          </w:tcPr>
          <w:p>
            <w:pPr>
              <w:spacing w:line="320" w:lineRule="exac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73.72m</w:t>
            </w:r>
            <w:r>
              <w:rPr>
                <w:rFonts w:hint="default" w:ascii="Times New Roman" w:hAnsi="Times New Roman" w:cs="Times New Roman"/>
                <w:sz w:val="20"/>
                <w:szCs w:val="20"/>
                <w:vertAlign w:val="superscript"/>
              </w:rPr>
              <w:t>3</w:t>
            </w:r>
          </w:p>
        </w:tc>
        <w:tc>
          <w:tcPr>
            <w:tcW w:w="1654" w:type="dxa"/>
            <w:vAlign w:val="center"/>
          </w:tcPr>
          <w:p>
            <w:pPr>
              <w:spacing w:line="320" w:lineRule="exac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61.92m</w:t>
            </w:r>
            <w:r>
              <w:rPr>
                <w:rFonts w:hint="default" w:ascii="Times New Roman" w:hAnsi="Times New Roman" w:cs="Times New Roman"/>
                <w:sz w:val="20"/>
                <w:szCs w:val="20"/>
                <w:vertAlign w:val="superscript"/>
              </w:rPr>
              <w:t>3</w:t>
            </w:r>
          </w:p>
        </w:tc>
        <w:tc>
          <w:tcPr>
            <w:tcW w:w="2312" w:type="dxa"/>
            <w:vAlign w:val="center"/>
          </w:tcPr>
          <w:p>
            <w:pPr>
              <w:spacing w:line="320" w:lineRule="exac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较2020年下降16%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892" w:type="dxa"/>
            <w:vAlign w:val="center"/>
          </w:tcPr>
          <w:p>
            <w:pPr>
              <w:spacing w:line="320" w:lineRule="exac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万元工业增加值用水量</w:t>
            </w:r>
          </w:p>
        </w:tc>
        <w:tc>
          <w:tcPr>
            <w:tcW w:w="1784" w:type="dxa"/>
            <w:vAlign w:val="center"/>
          </w:tcPr>
          <w:p>
            <w:pPr>
              <w:spacing w:line="320" w:lineRule="exac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30.23m</w:t>
            </w:r>
            <w:r>
              <w:rPr>
                <w:rFonts w:hint="default" w:ascii="Times New Roman" w:hAnsi="Times New Roman" w:cs="Times New Roman"/>
                <w:sz w:val="20"/>
                <w:szCs w:val="20"/>
                <w:vertAlign w:val="superscript"/>
              </w:rPr>
              <w:t>3</w:t>
            </w:r>
          </w:p>
        </w:tc>
        <w:tc>
          <w:tcPr>
            <w:tcW w:w="1654" w:type="dxa"/>
            <w:vAlign w:val="center"/>
          </w:tcPr>
          <w:p>
            <w:pPr>
              <w:spacing w:line="320" w:lineRule="exac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25.39m</w:t>
            </w:r>
            <w:r>
              <w:rPr>
                <w:rFonts w:hint="default" w:ascii="Times New Roman" w:hAnsi="Times New Roman" w:cs="Times New Roman"/>
                <w:sz w:val="20"/>
                <w:szCs w:val="20"/>
                <w:vertAlign w:val="superscript"/>
              </w:rPr>
              <w:t>3</w:t>
            </w:r>
          </w:p>
        </w:tc>
        <w:tc>
          <w:tcPr>
            <w:tcW w:w="2312" w:type="dxa"/>
            <w:vAlign w:val="center"/>
          </w:tcPr>
          <w:p>
            <w:pPr>
              <w:spacing w:line="320" w:lineRule="exac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较2020年下降16%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892" w:type="dxa"/>
            <w:vAlign w:val="center"/>
          </w:tcPr>
          <w:p>
            <w:pPr>
              <w:spacing w:line="320" w:lineRule="exac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规模以上工业用水重复利用率</w:t>
            </w:r>
          </w:p>
        </w:tc>
        <w:tc>
          <w:tcPr>
            <w:tcW w:w="1784" w:type="dxa"/>
            <w:vAlign w:val="center"/>
          </w:tcPr>
          <w:p>
            <w:pPr>
              <w:spacing w:line="320" w:lineRule="exac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654" w:type="dxa"/>
            <w:vAlign w:val="center"/>
          </w:tcPr>
          <w:p>
            <w:pPr>
              <w:spacing w:line="320" w:lineRule="exac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93%</w:t>
            </w:r>
          </w:p>
        </w:tc>
        <w:tc>
          <w:tcPr>
            <w:tcW w:w="2312" w:type="dxa"/>
            <w:vAlign w:val="center"/>
          </w:tcPr>
          <w:p>
            <w:pPr>
              <w:spacing w:line="320" w:lineRule="exact"/>
              <w:ind w:firstLine="400"/>
              <w:jc w:val="center"/>
              <w:rPr>
                <w:rFonts w:hint="default" w:ascii="Times New Roman" w:hAnsi="Times New Roman" w:cs="Times New Roman"/>
                <w:sz w:val="20"/>
                <w:szCs w:val="20"/>
              </w:rPr>
            </w:pPr>
            <w:r>
              <w:rPr>
                <w:rFonts w:hint="default" w:ascii="Times New Roman" w:hAnsi="Times New Roma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892" w:type="dxa"/>
            <w:vAlign w:val="center"/>
          </w:tcPr>
          <w:p>
            <w:pPr>
              <w:spacing w:line="320" w:lineRule="exac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节水型企业建成率</w:t>
            </w:r>
          </w:p>
        </w:tc>
        <w:tc>
          <w:tcPr>
            <w:tcW w:w="1784" w:type="dxa"/>
            <w:vAlign w:val="center"/>
          </w:tcPr>
          <w:p>
            <w:pPr>
              <w:spacing w:line="320" w:lineRule="exac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654" w:type="dxa"/>
            <w:vAlign w:val="center"/>
          </w:tcPr>
          <w:p>
            <w:pPr>
              <w:spacing w:line="320" w:lineRule="exac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50%</w:t>
            </w:r>
          </w:p>
        </w:tc>
        <w:tc>
          <w:tcPr>
            <w:tcW w:w="2312" w:type="dxa"/>
            <w:vAlign w:val="center"/>
          </w:tcPr>
          <w:p>
            <w:pPr>
              <w:spacing w:line="320" w:lineRule="exact"/>
              <w:ind w:firstLine="400"/>
              <w:jc w:val="center"/>
              <w:rPr>
                <w:rFonts w:hint="default" w:ascii="Times New Roman" w:hAnsi="Times New Roman" w:cs="Times New Roman"/>
                <w:sz w:val="20"/>
                <w:szCs w:val="20"/>
              </w:rPr>
            </w:pPr>
            <w:r>
              <w:rPr>
                <w:rFonts w:hint="default" w:ascii="Times New Roman" w:hAnsi="Times New Roman" w:cs="Times New Roman"/>
                <w:sz w:val="20"/>
                <w:szCs w:val="20"/>
              </w:rPr>
              <w:t>/</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rPr>
        <w:t>到2035年，进一步推进工业企业和园区的绿色高质量转型升级和循环化改造，形成水循环梯级利用的园区产业体系，促进企业间串联用水、分质用水、一水多用和循环利用，提高工业用水重复利用率。全市万元工业增加值用水量下降到22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以下，规模以上工业用水重复利用率达到95%以上。</w:t>
      </w:r>
    </w:p>
    <w:p>
      <w:pPr>
        <w:pStyle w:val="32"/>
        <w:ind w:firstLine="0" w:firstLineChars="0"/>
        <w:jc w:val="center"/>
        <w:rPr>
          <w:rFonts w:hint="default" w:ascii="Times New Roman" w:hAnsi="Times New Roman" w:eastAsia="黑体" w:cs="Times New Roman"/>
          <w:b w:val="0"/>
          <w:sz w:val="24"/>
          <w:szCs w:val="24"/>
        </w:rPr>
      </w:pPr>
      <w:r>
        <w:rPr>
          <w:rFonts w:hint="default" w:ascii="Times New Roman" w:hAnsi="Times New Roman" w:eastAsia="黑体" w:cs="Times New Roman"/>
          <w:b w:val="0"/>
          <w:sz w:val="24"/>
          <w:szCs w:val="24"/>
        </w:rPr>
        <w:t>表5.8 巴中市各区县主导产业和工业园区分布表</w:t>
      </w:r>
    </w:p>
    <w:tbl>
      <w:tblPr>
        <w:tblStyle w:val="19"/>
        <w:tblW w:w="8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618"/>
        <w:gridCol w:w="1858"/>
        <w:gridCol w:w="1295"/>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306" w:type="dxa"/>
            <w:vAlign w:val="center"/>
          </w:tcPr>
          <w:p>
            <w:pPr>
              <w:adjustRightInd w:val="0"/>
              <w:snapToGrid w:val="0"/>
              <w:spacing w:line="240" w:lineRule="atLeast"/>
              <w:ind w:firstLine="0" w:firstLineChars="0"/>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名称</w:t>
            </w:r>
          </w:p>
        </w:tc>
        <w:tc>
          <w:tcPr>
            <w:tcW w:w="2618" w:type="dxa"/>
            <w:vAlign w:val="center"/>
          </w:tcPr>
          <w:p>
            <w:pPr>
              <w:adjustRightInd w:val="0"/>
              <w:snapToGrid w:val="0"/>
              <w:spacing w:line="240" w:lineRule="atLeast"/>
              <w:ind w:firstLine="0" w:firstLineChars="0"/>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构成</w:t>
            </w:r>
          </w:p>
        </w:tc>
        <w:tc>
          <w:tcPr>
            <w:tcW w:w="1858" w:type="dxa"/>
            <w:vAlign w:val="center"/>
          </w:tcPr>
          <w:p>
            <w:pPr>
              <w:adjustRightInd w:val="0"/>
              <w:snapToGrid w:val="0"/>
              <w:spacing w:line="240" w:lineRule="atLeast"/>
              <w:ind w:firstLine="0" w:firstLineChars="0"/>
              <w:rPr>
                <w:rFonts w:hint="default" w:ascii="Times New Roman" w:hAnsi="Times New Roman" w:eastAsia="黑体" w:cs="Times New Roman"/>
                <w:sz w:val="20"/>
                <w:szCs w:val="20"/>
              </w:rPr>
            </w:pPr>
            <w:r>
              <w:rPr>
                <w:rFonts w:hint="default" w:ascii="Times New Roman" w:hAnsi="Times New Roman" w:eastAsia="黑体" w:cs="Times New Roman"/>
                <w:sz w:val="20"/>
                <w:szCs w:val="20"/>
              </w:rPr>
              <w:t>主导产业定位</w:t>
            </w:r>
          </w:p>
        </w:tc>
        <w:tc>
          <w:tcPr>
            <w:tcW w:w="1295" w:type="dxa"/>
            <w:vAlign w:val="center"/>
          </w:tcPr>
          <w:p>
            <w:pPr>
              <w:adjustRightInd w:val="0"/>
              <w:snapToGrid w:val="0"/>
              <w:spacing w:line="240" w:lineRule="atLeast"/>
              <w:ind w:firstLine="0" w:firstLineChars="0"/>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现有</w:t>
            </w:r>
          </w:p>
          <w:p>
            <w:pPr>
              <w:adjustRightInd w:val="0"/>
              <w:snapToGrid w:val="0"/>
              <w:spacing w:line="240" w:lineRule="atLeast"/>
              <w:ind w:firstLine="0" w:firstLineChars="0"/>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用地面积</w:t>
            </w:r>
          </w:p>
        </w:tc>
        <w:tc>
          <w:tcPr>
            <w:tcW w:w="1352" w:type="dxa"/>
            <w:vAlign w:val="center"/>
          </w:tcPr>
          <w:p>
            <w:pPr>
              <w:adjustRightInd w:val="0"/>
              <w:snapToGrid w:val="0"/>
              <w:spacing w:line="240" w:lineRule="atLeast"/>
              <w:ind w:firstLine="0" w:firstLineChars="0"/>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规划面积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306" w:type="dxa"/>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巴中经济开发区</w:t>
            </w:r>
          </w:p>
        </w:tc>
        <w:tc>
          <w:tcPr>
            <w:tcW w:w="2618" w:type="dxa"/>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包括兴文新区产业区、巴中新能源新材料产业园</w:t>
            </w:r>
          </w:p>
        </w:tc>
        <w:tc>
          <w:tcPr>
            <w:tcW w:w="1858" w:type="dxa"/>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生物医药、新能源新材料</w:t>
            </w:r>
          </w:p>
        </w:tc>
        <w:tc>
          <w:tcPr>
            <w:tcW w:w="1295" w:type="dxa"/>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8.7km²</w:t>
            </w:r>
          </w:p>
        </w:tc>
        <w:tc>
          <w:tcPr>
            <w:tcW w:w="1352" w:type="dxa"/>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20km²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06" w:type="dxa"/>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四川平昌经济开发区</w:t>
            </w:r>
          </w:p>
        </w:tc>
        <w:tc>
          <w:tcPr>
            <w:tcW w:w="2618" w:type="dxa"/>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包括星光工业园区、食品产业园、驷马工业园</w:t>
            </w:r>
          </w:p>
        </w:tc>
        <w:tc>
          <w:tcPr>
            <w:tcW w:w="1858" w:type="dxa"/>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食品饮料、新能源新材料</w:t>
            </w:r>
          </w:p>
        </w:tc>
        <w:tc>
          <w:tcPr>
            <w:tcW w:w="1295" w:type="dxa"/>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4.5km²</w:t>
            </w:r>
          </w:p>
        </w:tc>
        <w:tc>
          <w:tcPr>
            <w:tcW w:w="1352" w:type="dxa"/>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15km²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306" w:type="dxa"/>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巴州工业园</w:t>
            </w:r>
          </w:p>
        </w:tc>
        <w:tc>
          <w:tcPr>
            <w:tcW w:w="2618" w:type="dxa"/>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包括巴州工业园、巴州区循环经济企业孵化园</w:t>
            </w:r>
          </w:p>
        </w:tc>
        <w:tc>
          <w:tcPr>
            <w:tcW w:w="1858" w:type="dxa"/>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食品饮料、生物医药</w:t>
            </w:r>
          </w:p>
        </w:tc>
        <w:tc>
          <w:tcPr>
            <w:tcW w:w="1295" w:type="dxa"/>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4.8km²</w:t>
            </w:r>
          </w:p>
        </w:tc>
        <w:tc>
          <w:tcPr>
            <w:tcW w:w="1352" w:type="dxa"/>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8.5km²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306" w:type="dxa"/>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恩阳工业园</w:t>
            </w:r>
          </w:p>
        </w:tc>
        <w:tc>
          <w:tcPr>
            <w:tcW w:w="2618" w:type="dxa"/>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包括临港产业区、柳林食品工业园、小微企业创业园区</w:t>
            </w:r>
          </w:p>
        </w:tc>
        <w:tc>
          <w:tcPr>
            <w:tcW w:w="1858" w:type="dxa"/>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食品饮料</w:t>
            </w:r>
          </w:p>
        </w:tc>
        <w:tc>
          <w:tcPr>
            <w:tcW w:w="1295" w:type="dxa"/>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2.62km²</w:t>
            </w:r>
          </w:p>
        </w:tc>
        <w:tc>
          <w:tcPr>
            <w:tcW w:w="1352" w:type="dxa"/>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19.8km²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06" w:type="dxa"/>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南江工业园</w:t>
            </w:r>
          </w:p>
        </w:tc>
        <w:tc>
          <w:tcPr>
            <w:tcW w:w="2618" w:type="dxa"/>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包括东榆工业园区、坪河新材料产业园区、乐坝中小微企业园区</w:t>
            </w:r>
          </w:p>
        </w:tc>
        <w:tc>
          <w:tcPr>
            <w:tcW w:w="1858" w:type="dxa"/>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食品饮料、新能源新材料</w:t>
            </w:r>
          </w:p>
        </w:tc>
        <w:tc>
          <w:tcPr>
            <w:tcW w:w="1295" w:type="dxa"/>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2km²</w:t>
            </w:r>
          </w:p>
        </w:tc>
        <w:tc>
          <w:tcPr>
            <w:tcW w:w="1352" w:type="dxa"/>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6.8km²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06" w:type="dxa"/>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通江工业园</w:t>
            </w:r>
          </w:p>
        </w:tc>
        <w:tc>
          <w:tcPr>
            <w:tcW w:w="2618" w:type="dxa"/>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包括秦家岭物流集散区、春在农产品加工区、李家湾粮食产业区、金堂新能源新材料产业区</w:t>
            </w:r>
          </w:p>
        </w:tc>
        <w:tc>
          <w:tcPr>
            <w:tcW w:w="1858" w:type="dxa"/>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食品饮料、生物医药</w:t>
            </w:r>
          </w:p>
        </w:tc>
        <w:tc>
          <w:tcPr>
            <w:tcW w:w="1295" w:type="dxa"/>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3km²</w:t>
            </w:r>
          </w:p>
        </w:tc>
        <w:tc>
          <w:tcPr>
            <w:tcW w:w="1352" w:type="dxa"/>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6.28km²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06" w:type="dxa"/>
            <w:vAlign w:val="center"/>
          </w:tcPr>
          <w:p>
            <w:pPr>
              <w:adjustRightInd w:val="0"/>
              <w:snapToGrid w:val="0"/>
              <w:spacing w:line="240" w:lineRule="atLeast"/>
              <w:ind w:firstLine="400"/>
              <w:jc w:val="left"/>
              <w:rPr>
                <w:rFonts w:hint="default" w:ascii="Times New Roman" w:hAnsi="Times New Roman" w:cs="Times New Roman"/>
                <w:sz w:val="20"/>
                <w:szCs w:val="20"/>
              </w:rPr>
            </w:pPr>
            <w:r>
              <w:rPr>
                <w:rFonts w:hint="default" w:ascii="Times New Roman" w:hAnsi="Times New Roman" w:cs="Times New Roman"/>
                <w:sz w:val="20"/>
                <w:szCs w:val="20"/>
              </w:rPr>
              <w:t>合计</w:t>
            </w:r>
          </w:p>
        </w:tc>
        <w:tc>
          <w:tcPr>
            <w:tcW w:w="2618" w:type="dxa"/>
            <w:vAlign w:val="center"/>
          </w:tcPr>
          <w:p>
            <w:pPr>
              <w:adjustRightInd w:val="0"/>
              <w:snapToGrid w:val="0"/>
              <w:spacing w:line="240" w:lineRule="atLeast"/>
              <w:ind w:firstLine="400"/>
              <w:jc w:val="left"/>
              <w:rPr>
                <w:rFonts w:hint="default" w:ascii="Times New Roman" w:hAnsi="Times New Roman" w:cs="Times New Roman"/>
                <w:sz w:val="20"/>
                <w:szCs w:val="20"/>
              </w:rPr>
            </w:pPr>
          </w:p>
        </w:tc>
        <w:tc>
          <w:tcPr>
            <w:tcW w:w="1858" w:type="dxa"/>
            <w:vAlign w:val="center"/>
          </w:tcPr>
          <w:p>
            <w:pPr>
              <w:adjustRightInd w:val="0"/>
              <w:snapToGrid w:val="0"/>
              <w:spacing w:line="240" w:lineRule="atLeast"/>
              <w:ind w:firstLine="400"/>
              <w:jc w:val="left"/>
              <w:rPr>
                <w:rFonts w:hint="default" w:ascii="Times New Roman" w:hAnsi="Times New Roman" w:cs="Times New Roman"/>
                <w:sz w:val="20"/>
                <w:szCs w:val="20"/>
              </w:rPr>
            </w:pPr>
          </w:p>
        </w:tc>
        <w:tc>
          <w:tcPr>
            <w:tcW w:w="1295" w:type="dxa"/>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25.62km²</w:t>
            </w:r>
          </w:p>
        </w:tc>
        <w:tc>
          <w:tcPr>
            <w:tcW w:w="1352" w:type="dxa"/>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73.58km²</w:t>
            </w:r>
          </w:p>
        </w:tc>
      </w:tr>
    </w:tbl>
    <w:p>
      <w:pPr>
        <w:keepNext w:val="0"/>
        <w:keepLines w:val="0"/>
        <w:pageBreakBefore w:val="0"/>
        <w:widowControl/>
        <w:kinsoku/>
        <w:wordWrap/>
        <w:overflowPunct/>
        <w:topLinePunct w:val="0"/>
        <w:autoSpaceDE/>
        <w:autoSpaceDN/>
        <w:bidi w:val="0"/>
        <w:adjustRightInd/>
        <w:snapToGrid/>
        <w:spacing w:line="560" w:lineRule="exact"/>
        <w:ind w:firstLine="321" w:firstLineChars="100"/>
        <w:textAlignment w:val="auto"/>
        <w:outlineLvl w:val="2"/>
        <w:rPr>
          <w:rFonts w:hint="default" w:ascii="Times New Roman" w:hAnsi="Times New Roman" w:eastAsia="仿宋_GB2312" w:cs="Times New Roman"/>
          <w:b/>
          <w:bCs/>
          <w:sz w:val="32"/>
          <w:szCs w:val="32"/>
        </w:rPr>
      </w:pPr>
      <w:bookmarkStart w:id="181" w:name="_Toc6559"/>
      <w:bookmarkStart w:id="182" w:name="_Toc3576"/>
      <w:bookmarkStart w:id="183" w:name="_Toc15744"/>
      <w:bookmarkStart w:id="184" w:name="_Toc26523"/>
      <w:bookmarkStart w:id="185" w:name="_Toc6193"/>
      <w:bookmarkStart w:id="186" w:name="_Toc31461"/>
      <w:r>
        <w:rPr>
          <w:rFonts w:hint="default" w:ascii="Times New Roman" w:hAnsi="Times New Roman" w:eastAsia="仿宋_GB2312" w:cs="Times New Roman"/>
          <w:b/>
          <w:bCs/>
          <w:sz w:val="32"/>
          <w:szCs w:val="32"/>
        </w:rPr>
        <w:t>（2）工业节水工程规划</w:t>
      </w:r>
    </w:p>
    <w:bookmarkEnd w:id="181"/>
    <w:bookmarkEnd w:id="182"/>
    <w:bookmarkEnd w:id="183"/>
    <w:bookmarkEnd w:id="184"/>
    <w:bookmarkEnd w:id="185"/>
    <w:bookmarkEnd w:id="186"/>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 1 \* GB3 \* MERGEFORMAT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①</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t xml:space="preserve"> </w:t>
      </w:r>
      <w:r>
        <w:rPr>
          <w:rFonts w:hint="default" w:ascii="Times New Roman" w:hAnsi="Times New Roman" w:eastAsia="仿宋_GB2312" w:cs="Times New Roman"/>
          <w:b/>
          <w:bCs/>
          <w:sz w:val="32"/>
          <w:szCs w:val="32"/>
        </w:rPr>
        <w:t>节水型企业</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巴中市打造“五行业三品牌两基地”、建设500亿级食品饮料产业集群为契机，继续对胡婆婆食品、通江银耳、顺和通米业等食品企业、江口醇、小角楼等酿酒企业实施节水改造，采用饮料原水处理的反渗透浓水回收技术、循环水冷却及回收利用技术、洗瓶水循环净化灭菌装置、高浓度含糖废水综合利用技术、大米洗米水集成处理技术以及污水收集回用等技术进行企业节水改造，提高企业用水效率，减少污水排放，创建一批省级节水型企业。“十四五”期间，巴中市计划对食品行业的10家企业、生物制药的3家企业实施节水改造，规划投资3818万元。</w:t>
      </w:r>
    </w:p>
    <w:p>
      <w:pPr>
        <w:pStyle w:val="32"/>
        <w:snapToGrid/>
        <w:ind w:firstLine="0" w:firstLineChars="0"/>
        <w:jc w:val="center"/>
        <w:rPr>
          <w:rFonts w:hint="default" w:ascii="Times New Roman" w:hAnsi="Times New Roman" w:eastAsia="黑体" w:cs="Times New Roman"/>
          <w:b w:val="0"/>
          <w:sz w:val="24"/>
          <w:szCs w:val="24"/>
        </w:rPr>
      </w:pPr>
      <w:r>
        <w:rPr>
          <w:rFonts w:hint="default" w:ascii="Times New Roman" w:hAnsi="Times New Roman" w:eastAsia="黑体" w:cs="Times New Roman"/>
          <w:b w:val="0"/>
          <w:sz w:val="24"/>
          <w:szCs w:val="24"/>
        </w:rPr>
        <w:t>表5.9  企业实施节水改造项目</w:t>
      </w:r>
    </w:p>
    <w:tbl>
      <w:tblPr>
        <w:tblStyle w:val="18"/>
        <w:tblpPr w:leftFromText="180" w:rightFromText="180" w:vertAnchor="text" w:horzAnchor="page" w:tblpX="1602" w:tblpY="433"/>
        <w:tblOverlap w:val="never"/>
        <w:tblW w:w="9069" w:type="dxa"/>
        <w:tblInd w:w="0" w:type="dxa"/>
        <w:tblLayout w:type="fixed"/>
        <w:tblCellMar>
          <w:top w:w="0" w:type="dxa"/>
          <w:left w:w="108" w:type="dxa"/>
          <w:bottom w:w="0" w:type="dxa"/>
          <w:right w:w="108" w:type="dxa"/>
        </w:tblCellMar>
      </w:tblPr>
      <w:tblGrid>
        <w:gridCol w:w="517"/>
        <w:gridCol w:w="902"/>
        <w:gridCol w:w="1963"/>
        <w:gridCol w:w="3101"/>
        <w:gridCol w:w="951"/>
        <w:gridCol w:w="1635"/>
      </w:tblGrid>
      <w:tr>
        <w:tblPrEx>
          <w:tblCellMar>
            <w:top w:w="0" w:type="dxa"/>
            <w:left w:w="108" w:type="dxa"/>
            <w:bottom w:w="0" w:type="dxa"/>
            <w:right w:w="108" w:type="dxa"/>
          </w:tblCellMar>
        </w:tblPrEx>
        <w:trPr>
          <w:trHeight w:val="475" w:hRule="atLeast"/>
          <w:tblHeader/>
        </w:trPr>
        <w:tc>
          <w:tcPr>
            <w:tcW w:w="5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序号</w:t>
            </w:r>
          </w:p>
        </w:tc>
        <w:tc>
          <w:tcPr>
            <w:tcW w:w="90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所在</w:t>
            </w:r>
          </w:p>
          <w:p>
            <w:pPr>
              <w:adjustRightInd w:val="0"/>
              <w:snapToGrid w:val="0"/>
              <w:spacing w:line="240" w:lineRule="atLeast"/>
              <w:ind w:firstLine="0" w:firstLineChars="0"/>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区县</w:t>
            </w:r>
          </w:p>
        </w:tc>
        <w:tc>
          <w:tcPr>
            <w:tcW w:w="19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单位名称</w:t>
            </w:r>
          </w:p>
        </w:tc>
        <w:tc>
          <w:tcPr>
            <w:tcW w:w="31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项目建设内容</w:t>
            </w:r>
          </w:p>
        </w:tc>
        <w:tc>
          <w:tcPr>
            <w:tcW w:w="9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投资</w:t>
            </w:r>
          </w:p>
          <w:p>
            <w:pPr>
              <w:adjustRightInd w:val="0"/>
              <w:snapToGrid w:val="0"/>
              <w:spacing w:line="240" w:lineRule="atLeast"/>
              <w:ind w:firstLine="0" w:firstLineChars="0"/>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 xml:space="preserve"> (万元)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建设目标</w:t>
            </w:r>
          </w:p>
        </w:tc>
      </w:tr>
      <w:tr>
        <w:tblPrEx>
          <w:tblCellMar>
            <w:top w:w="0" w:type="dxa"/>
            <w:left w:w="108" w:type="dxa"/>
            <w:bottom w:w="0" w:type="dxa"/>
            <w:right w:w="108" w:type="dxa"/>
          </w:tblCellMar>
        </w:tblPrEx>
        <w:trPr>
          <w:trHeight w:val="460" w:hRule="atLeast"/>
        </w:trPr>
        <w:tc>
          <w:tcPr>
            <w:tcW w:w="3382"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一、食品饮料产业项目</w:t>
            </w:r>
          </w:p>
        </w:tc>
        <w:tc>
          <w:tcPr>
            <w:tcW w:w="31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p>
        </w:tc>
        <w:tc>
          <w:tcPr>
            <w:tcW w:w="9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p>
        </w:tc>
        <w:tc>
          <w:tcPr>
            <w:tcW w:w="16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688" w:hRule="atLeast"/>
        </w:trPr>
        <w:tc>
          <w:tcPr>
            <w:tcW w:w="5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90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平昌县</w:t>
            </w:r>
          </w:p>
        </w:tc>
        <w:tc>
          <w:tcPr>
            <w:tcW w:w="19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四川隆鼎江口醇有限公司</w:t>
            </w:r>
          </w:p>
        </w:tc>
        <w:tc>
          <w:tcPr>
            <w:tcW w:w="31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冷却水的循环利用系统，污水的处理及梯级利用等设施。</w:t>
            </w:r>
          </w:p>
        </w:tc>
        <w:tc>
          <w:tcPr>
            <w:tcW w:w="9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200</w:t>
            </w:r>
          </w:p>
        </w:tc>
        <w:tc>
          <w:tcPr>
            <w:tcW w:w="16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省级节水型企业</w:t>
            </w:r>
          </w:p>
        </w:tc>
      </w:tr>
      <w:tr>
        <w:tblPrEx>
          <w:tblCellMar>
            <w:top w:w="0" w:type="dxa"/>
            <w:left w:w="108" w:type="dxa"/>
            <w:bottom w:w="0" w:type="dxa"/>
            <w:right w:w="108" w:type="dxa"/>
          </w:tblCellMar>
        </w:tblPrEx>
        <w:trPr>
          <w:trHeight w:val="680" w:hRule="atLeast"/>
        </w:trPr>
        <w:tc>
          <w:tcPr>
            <w:tcW w:w="5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90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平昌县</w:t>
            </w:r>
          </w:p>
        </w:tc>
        <w:tc>
          <w:tcPr>
            <w:tcW w:w="19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四川远鸿小角楼酒业有限责任公司</w:t>
            </w:r>
          </w:p>
        </w:tc>
        <w:tc>
          <w:tcPr>
            <w:tcW w:w="31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冷却水的循环利用系统，洗瓶水循环净化利用等设施。</w:t>
            </w:r>
          </w:p>
        </w:tc>
        <w:tc>
          <w:tcPr>
            <w:tcW w:w="9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1000</w:t>
            </w:r>
          </w:p>
        </w:tc>
        <w:tc>
          <w:tcPr>
            <w:tcW w:w="16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省级节水型企业</w:t>
            </w:r>
          </w:p>
        </w:tc>
      </w:tr>
      <w:tr>
        <w:tblPrEx>
          <w:tblCellMar>
            <w:top w:w="0" w:type="dxa"/>
            <w:left w:w="108" w:type="dxa"/>
            <w:bottom w:w="0" w:type="dxa"/>
            <w:right w:w="108" w:type="dxa"/>
          </w:tblCellMar>
        </w:tblPrEx>
        <w:trPr>
          <w:trHeight w:val="420" w:hRule="atLeast"/>
        </w:trPr>
        <w:tc>
          <w:tcPr>
            <w:tcW w:w="5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90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恩阳区</w:t>
            </w:r>
          </w:p>
        </w:tc>
        <w:tc>
          <w:tcPr>
            <w:tcW w:w="19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四川胡婆婆食品有限公司</w:t>
            </w:r>
          </w:p>
        </w:tc>
        <w:tc>
          <w:tcPr>
            <w:tcW w:w="31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污水处理设施系统1套（日处理生产废水1000立方），企业污水回用系统。</w:t>
            </w:r>
          </w:p>
        </w:tc>
        <w:tc>
          <w:tcPr>
            <w:tcW w:w="9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300</w:t>
            </w:r>
          </w:p>
        </w:tc>
        <w:tc>
          <w:tcPr>
            <w:tcW w:w="16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省级节水型企业</w:t>
            </w:r>
          </w:p>
        </w:tc>
      </w:tr>
      <w:tr>
        <w:tblPrEx>
          <w:tblCellMar>
            <w:top w:w="0" w:type="dxa"/>
            <w:left w:w="108" w:type="dxa"/>
            <w:bottom w:w="0" w:type="dxa"/>
            <w:right w:w="108" w:type="dxa"/>
          </w:tblCellMar>
        </w:tblPrEx>
        <w:trPr>
          <w:trHeight w:val="390" w:hRule="atLeast"/>
        </w:trPr>
        <w:tc>
          <w:tcPr>
            <w:tcW w:w="5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90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平昌县</w:t>
            </w:r>
          </w:p>
        </w:tc>
        <w:tc>
          <w:tcPr>
            <w:tcW w:w="19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平昌县朱氏食品有限公司</w:t>
            </w:r>
          </w:p>
        </w:tc>
        <w:tc>
          <w:tcPr>
            <w:tcW w:w="31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冷却水的循环利用系统，污水的处理及梯级利用等设施。</w:t>
            </w:r>
          </w:p>
        </w:tc>
        <w:tc>
          <w:tcPr>
            <w:tcW w:w="9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200</w:t>
            </w:r>
          </w:p>
        </w:tc>
        <w:tc>
          <w:tcPr>
            <w:tcW w:w="16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市级节水型企业</w:t>
            </w:r>
          </w:p>
        </w:tc>
      </w:tr>
      <w:tr>
        <w:tblPrEx>
          <w:tblCellMar>
            <w:top w:w="0" w:type="dxa"/>
            <w:left w:w="108" w:type="dxa"/>
            <w:bottom w:w="0" w:type="dxa"/>
            <w:right w:w="108" w:type="dxa"/>
          </w:tblCellMar>
        </w:tblPrEx>
        <w:trPr>
          <w:trHeight w:val="605" w:hRule="atLeast"/>
        </w:trPr>
        <w:tc>
          <w:tcPr>
            <w:tcW w:w="5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90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经开区</w:t>
            </w:r>
          </w:p>
        </w:tc>
        <w:tc>
          <w:tcPr>
            <w:tcW w:w="19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四川岳老大食品有限责任公司</w:t>
            </w:r>
          </w:p>
        </w:tc>
        <w:tc>
          <w:tcPr>
            <w:tcW w:w="31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污水回收循环利用</w:t>
            </w:r>
          </w:p>
        </w:tc>
        <w:tc>
          <w:tcPr>
            <w:tcW w:w="9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90</w:t>
            </w:r>
          </w:p>
        </w:tc>
        <w:tc>
          <w:tcPr>
            <w:tcW w:w="16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color w:val="auto"/>
                <w:sz w:val="20"/>
                <w:szCs w:val="20"/>
              </w:rPr>
            </w:pPr>
            <w:r>
              <w:rPr>
                <w:rFonts w:hint="default" w:ascii="Times New Roman" w:hAnsi="Times New Roman" w:cs="Times New Roman"/>
                <w:sz w:val="20"/>
                <w:szCs w:val="20"/>
              </w:rPr>
              <w:t>市级节水型企业</w:t>
            </w:r>
          </w:p>
        </w:tc>
      </w:tr>
      <w:tr>
        <w:tblPrEx>
          <w:tblCellMar>
            <w:top w:w="0" w:type="dxa"/>
            <w:left w:w="108" w:type="dxa"/>
            <w:bottom w:w="0" w:type="dxa"/>
            <w:right w:w="108" w:type="dxa"/>
          </w:tblCellMar>
        </w:tblPrEx>
        <w:trPr>
          <w:trHeight w:val="605" w:hRule="atLeast"/>
        </w:trPr>
        <w:tc>
          <w:tcPr>
            <w:tcW w:w="5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90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恩阳区</w:t>
            </w:r>
          </w:p>
        </w:tc>
        <w:tc>
          <w:tcPr>
            <w:tcW w:w="19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巴中市创兴新型建材有限公司</w:t>
            </w:r>
          </w:p>
        </w:tc>
        <w:tc>
          <w:tcPr>
            <w:tcW w:w="31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污水回收利用</w:t>
            </w:r>
          </w:p>
        </w:tc>
        <w:tc>
          <w:tcPr>
            <w:tcW w:w="9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98</w:t>
            </w:r>
          </w:p>
        </w:tc>
        <w:tc>
          <w:tcPr>
            <w:tcW w:w="16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color w:val="auto"/>
                <w:sz w:val="20"/>
                <w:szCs w:val="20"/>
              </w:rPr>
            </w:pPr>
            <w:r>
              <w:rPr>
                <w:rFonts w:hint="default" w:ascii="Times New Roman" w:hAnsi="Times New Roman" w:cs="Times New Roman"/>
                <w:sz w:val="20"/>
                <w:szCs w:val="20"/>
              </w:rPr>
              <w:t>市级节水型企业</w:t>
            </w:r>
          </w:p>
        </w:tc>
      </w:tr>
      <w:tr>
        <w:tblPrEx>
          <w:tblCellMar>
            <w:top w:w="0" w:type="dxa"/>
            <w:left w:w="108" w:type="dxa"/>
            <w:bottom w:w="0" w:type="dxa"/>
            <w:right w:w="108" w:type="dxa"/>
          </w:tblCellMar>
        </w:tblPrEx>
        <w:trPr>
          <w:trHeight w:val="420" w:hRule="atLeast"/>
        </w:trPr>
        <w:tc>
          <w:tcPr>
            <w:tcW w:w="5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90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南江县</w:t>
            </w:r>
          </w:p>
        </w:tc>
        <w:tc>
          <w:tcPr>
            <w:tcW w:w="19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四川领航石墨制品有限公司</w:t>
            </w:r>
          </w:p>
        </w:tc>
        <w:tc>
          <w:tcPr>
            <w:tcW w:w="31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color w:val="auto"/>
                <w:sz w:val="20"/>
                <w:szCs w:val="20"/>
              </w:rPr>
            </w:pPr>
            <w:r>
              <w:rPr>
                <w:rFonts w:hint="default" w:ascii="Times New Roman" w:hAnsi="Times New Roman" w:cs="Times New Roman"/>
                <w:color w:val="auto"/>
                <w:sz w:val="24"/>
                <w:szCs w:val="24"/>
              </w:rPr>
              <w:t>尾矿库污水回用系统</w:t>
            </w:r>
          </w:p>
        </w:tc>
        <w:tc>
          <w:tcPr>
            <w:tcW w:w="9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highlight w:val="none"/>
              </w:rPr>
              <w:t>350</w:t>
            </w:r>
          </w:p>
        </w:tc>
        <w:tc>
          <w:tcPr>
            <w:tcW w:w="16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color w:val="auto"/>
                <w:sz w:val="20"/>
                <w:szCs w:val="20"/>
              </w:rPr>
            </w:pPr>
            <w:r>
              <w:rPr>
                <w:rFonts w:hint="default" w:ascii="Times New Roman" w:hAnsi="Times New Roman" w:cs="Times New Roman"/>
                <w:sz w:val="20"/>
                <w:szCs w:val="20"/>
              </w:rPr>
              <w:t>市级节水型企业</w:t>
            </w:r>
          </w:p>
        </w:tc>
      </w:tr>
      <w:tr>
        <w:tblPrEx>
          <w:tblCellMar>
            <w:top w:w="0" w:type="dxa"/>
            <w:left w:w="108" w:type="dxa"/>
            <w:bottom w:w="0" w:type="dxa"/>
            <w:right w:w="108" w:type="dxa"/>
          </w:tblCellMar>
        </w:tblPrEx>
        <w:trPr>
          <w:trHeight w:val="420" w:hRule="atLeast"/>
        </w:trPr>
        <w:tc>
          <w:tcPr>
            <w:tcW w:w="5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8</w:t>
            </w:r>
          </w:p>
        </w:tc>
        <w:tc>
          <w:tcPr>
            <w:tcW w:w="90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南江县</w:t>
            </w:r>
          </w:p>
        </w:tc>
        <w:tc>
          <w:tcPr>
            <w:tcW w:w="19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南江县新兴矿业有限责任公司</w:t>
            </w:r>
          </w:p>
        </w:tc>
        <w:tc>
          <w:tcPr>
            <w:tcW w:w="31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color w:val="auto"/>
                <w:sz w:val="24"/>
                <w:szCs w:val="24"/>
              </w:rPr>
            </w:pPr>
            <w:r>
              <w:rPr>
                <w:rFonts w:hint="default" w:ascii="Times New Roman" w:hAnsi="Times New Roman" w:cs="Times New Roman"/>
                <w:color w:val="auto"/>
                <w:sz w:val="20"/>
                <w:szCs w:val="20"/>
              </w:rPr>
              <w:t>工业废水处理后再利用</w:t>
            </w:r>
          </w:p>
        </w:tc>
        <w:tc>
          <w:tcPr>
            <w:tcW w:w="9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1000</w:t>
            </w:r>
          </w:p>
        </w:tc>
        <w:tc>
          <w:tcPr>
            <w:tcW w:w="16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color w:val="auto"/>
                <w:sz w:val="20"/>
                <w:szCs w:val="20"/>
              </w:rPr>
            </w:pPr>
            <w:r>
              <w:rPr>
                <w:rFonts w:hint="default" w:ascii="Times New Roman" w:hAnsi="Times New Roman" w:cs="Times New Roman"/>
                <w:sz w:val="20"/>
                <w:szCs w:val="20"/>
              </w:rPr>
              <w:t>市级节水型企业</w:t>
            </w:r>
          </w:p>
        </w:tc>
      </w:tr>
      <w:tr>
        <w:tblPrEx>
          <w:tblCellMar>
            <w:top w:w="0" w:type="dxa"/>
            <w:left w:w="108" w:type="dxa"/>
            <w:bottom w:w="0" w:type="dxa"/>
            <w:right w:w="108" w:type="dxa"/>
          </w:tblCellMar>
        </w:tblPrEx>
        <w:trPr>
          <w:trHeight w:val="420" w:hRule="atLeast"/>
        </w:trPr>
        <w:tc>
          <w:tcPr>
            <w:tcW w:w="5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9</w:t>
            </w:r>
          </w:p>
        </w:tc>
        <w:tc>
          <w:tcPr>
            <w:tcW w:w="90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通江县</w:t>
            </w:r>
          </w:p>
        </w:tc>
        <w:tc>
          <w:tcPr>
            <w:tcW w:w="19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四川巴山麻王科技有限公司</w:t>
            </w:r>
          </w:p>
        </w:tc>
        <w:tc>
          <w:tcPr>
            <w:tcW w:w="31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污水收集系统，污水回用系统等。</w:t>
            </w:r>
          </w:p>
        </w:tc>
        <w:tc>
          <w:tcPr>
            <w:tcW w:w="9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100</w:t>
            </w:r>
          </w:p>
        </w:tc>
        <w:tc>
          <w:tcPr>
            <w:tcW w:w="16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市级节水型企业</w:t>
            </w:r>
          </w:p>
        </w:tc>
      </w:tr>
      <w:tr>
        <w:tblPrEx>
          <w:tblCellMar>
            <w:top w:w="0" w:type="dxa"/>
            <w:left w:w="108" w:type="dxa"/>
            <w:bottom w:w="0" w:type="dxa"/>
            <w:right w:w="108" w:type="dxa"/>
          </w:tblCellMar>
        </w:tblPrEx>
        <w:trPr>
          <w:trHeight w:val="420" w:hRule="atLeast"/>
        </w:trPr>
        <w:tc>
          <w:tcPr>
            <w:tcW w:w="5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90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恩阳区</w:t>
            </w:r>
          </w:p>
        </w:tc>
        <w:tc>
          <w:tcPr>
            <w:tcW w:w="19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四川省好彩头食品有限公司</w:t>
            </w:r>
          </w:p>
        </w:tc>
        <w:tc>
          <w:tcPr>
            <w:tcW w:w="31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污水收集系统，污水回用系统等。</w:t>
            </w:r>
          </w:p>
        </w:tc>
        <w:tc>
          <w:tcPr>
            <w:tcW w:w="9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highlight w:val="none"/>
              </w:rPr>
            </w:pPr>
            <w:r>
              <w:rPr>
                <w:rFonts w:hint="default" w:ascii="Times New Roman" w:hAnsi="Times New Roman" w:cs="Times New Roman"/>
                <w:color w:val="auto"/>
                <w:sz w:val="20"/>
                <w:szCs w:val="20"/>
                <w:highlight w:val="none"/>
              </w:rPr>
              <w:t>100</w:t>
            </w:r>
          </w:p>
        </w:tc>
        <w:tc>
          <w:tcPr>
            <w:tcW w:w="16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市级节水型企业</w:t>
            </w:r>
          </w:p>
        </w:tc>
      </w:tr>
      <w:tr>
        <w:tblPrEx>
          <w:tblCellMar>
            <w:top w:w="0" w:type="dxa"/>
            <w:left w:w="108" w:type="dxa"/>
            <w:bottom w:w="0" w:type="dxa"/>
            <w:right w:w="108" w:type="dxa"/>
          </w:tblCellMar>
        </w:tblPrEx>
        <w:trPr>
          <w:trHeight w:val="340" w:hRule="atLeast"/>
        </w:trPr>
        <w:tc>
          <w:tcPr>
            <w:tcW w:w="3382"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二、生物医药产业项目</w:t>
            </w:r>
          </w:p>
        </w:tc>
        <w:tc>
          <w:tcPr>
            <w:tcW w:w="31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p>
        </w:tc>
        <w:tc>
          <w:tcPr>
            <w:tcW w:w="9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p>
        </w:tc>
        <w:tc>
          <w:tcPr>
            <w:tcW w:w="16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660" w:hRule="atLeast"/>
        </w:trPr>
        <w:tc>
          <w:tcPr>
            <w:tcW w:w="5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w:t>
            </w:r>
          </w:p>
        </w:tc>
        <w:tc>
          <w:tcPr>
            <w:tcW w:w="90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恩阳区</w:t>
            </w:r>
          </w:p>
        </w:tc>
        <w:tc>
          <w:tcPr>
            <w:tcW w:w="19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四川百顺药业有限公司</w:t>
            </w:r>
          </w:p>
        </w:tc>
        <w:tc>
          <w:tcPr>
            <w:tcW w:w="31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冷却水的循环利用系统，污水的处理及梯级利用等设施。</w:t>
            </w:r>
          </w:p>
        </w:tc>
        <w:tc>
          <w:tcPr>
            <w:tcW w:w="9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80</w:t>
            </w:r>
          </w:p>
        </w:tc>
        <w:tc>
          <w:tcPr>
            <w:tcW w:w="16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市级节水型企业</w:t>
            </w:r>
          </w:p>
        </w:tc>
      </w:tr>
      <w:tr>
        <w:tblPrEx>
          <w:tblCellMar>
            <w:top w:w="0" w:type="dxa"/>
            <w:left w:w="108" w:type="dxa"/>
            <w:bottom w:w="0" w:type="dxa"/>
            <w:right w:w="108" w:type="dxa"/>
          </w:tblCellMar>
        </w:tblPrEx>
        <w:trPr>
          <w:trHeight w:val="420" w:hRule="atLeast"/>
        </w:trPr>
        <w:tc>
          <w:tcPr>
            <w:tcW w:w="5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90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南江县</w:t>
            </w:r>
          </w:p>
        </w:tc>
        <w:tc>
          <w:tcPr>
            <w:tcW w:w="19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南江县天宫农业有限公司</w:t>
            </w:r>
          </w:p>
        </w:tc>
        <w:tc>
          <w:tcPr>
            <w:tcW w:w="31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污水收集系统，污水回用系统等。</w:t>
            </w:r>
          </w:p>
        </w:tc>
        <w:tc>
          <w:tcPr>
            <w:tcW w:w="9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200</w:t>
            </w:r>
          </w:p>
        </w:tc>
        <w:tc>
          <w:tcPr>
            <w:tcW w:w="16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市级节水型企业</w:t>
            </w:r>
          </w:p>
        </w:tc>
      </w:tr>
      <w:tr>
        <w:tblPrEx>
          <w:tblCellMar>
            <w:top w:w="0" w:type="dxa"/>
            <w:left w:w="108" w:type="dxa"/>
            <w:bottom w:w="0" w:type="dxa"/>
            <w:right w:w="108" w:type="dxa"/>
          </w:tblCellMar>
        </w:tblPrEx>
        <w:trPr>
          <w:trHeight w:val="640" w:hRule="atLeast"/>
        </w:trPr>
        <w:tc>
          <w:tcPr>
            <w:tcW w:w="5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90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经开区</w:t>
            </w:r>
          </w:p>
        </w:tc>
        <w:tc>
          <w:tcPr>
            <w:tcW w:w="19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四川兴沣瑞制药有限公司</w:t>
            </w:r>
          </w:p>
        </w:tc>
        <w:tc>
          <w:tcPr>
            <w:tcW w:w="31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污水收集系统，污水回用系统等。</w:t>
            </w:r>
          </w:p>
        </w:tc>
        <w:tc>
          <w:tcPr>
            <w:tcW w:w="9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100</w:t>
            </w:r>
          </w:p>
        </w:tc>
        <w:tc>
          <w:tcPr>
            <w:tcW w:w="16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市级节水型企业</w:t>
            </w:r>
          </w:p>
        </w:tc>
      </w:tr>
      <w:tr>
        <w:tblPrEx>
          <w:tblCellMar>
            <w:top w:w="0" w:type="dxa"/>
            <w:left w:w="108" w:type="dxa"/>
            <w:bottom w:w="0" w:type="dxa"/>
            <w:right w:w="108" w:type="dxa"/>
          </w:tblCellMar>
        </w:tblPrEx>
        <w:trPr>
          <w:trHeight w:val="519" w:hRule="atLeast"/>
        </w:trPr>
        <w:tc>
          <w:tcPr>
            <w:tcW w:w="51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p>
        </w:tc>
        <w:tc>
          <w:tcPr>
            <w:tcW w:w="90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合计</w:t>
            </w:r>
          </w:p>
        </w:tc>
        <w:tc>
          <w:tcPr>
            <w:tcW w:w="19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p>
        </w:tc>
        <w:tc>
          <w:tcPr>
            <w:tcW w:w="31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p>
        </w:tc>
        <w:tc>
          <w:tcPr>
            <w:tcW w:w="9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3818</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240" w:lineRule="atLeast"/>
              <w:ind w:firstLine="0" w:firstLineChars="0"/>
              <w:jc w:val="left"/>
              <w:rPr>
                <w:rFonts w:hint="default" w:ascii="Times New Roman" w:hAnsi="Times New Roman" w:cs="Times New Roman"/>
                <w:sz w:val="20"/>
                <w:szCs w:val="20"/>
              </w:rPr>
            </w:pPr>
          </w:p>
        </w:tc>
      </w:tr>
    </w:tbl>
    <w:p>
      <w:pPr>
        <w:spacing w:line="360" w:lineRule="auto"/>
        <w:ind w:firstLine="0" w:firstLineChars="0"/>
        <w:rPr>
          <w:rFonts w:hint="default" w:ascii="Times New Roman" w:hAnsi="Times New Roman" w:eastAsia="黑体" w:cs="Times New Roman"/>
          <w:bCs/>
          <w:sz w:val="21"/>
          <w:szCs w:val="21"/>
        </w:rPr>
      </w:pPr>
      <w:r>
        <w:rPr>
          <w:rFonts w:hint="default" w:ascii="Times New Roman" w:hAnsi="Times New Roman" w:eastAsia="黑体" w:cs="Times New Roman"/>
          <w:bCs/>
          <w:sz w:val="21"/>
          <w:szCs w:val="21"/>
        </w:rPr>
        <w:t>* 数据来源:《巴中市“十四五”工业发展规划》</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fldChar w:fldCharType="begin"/>
      </w:r>
      <w:r>
        <w:rPr>
          <w:rFonts w:hint="default" w:ascii="Times New Roman" w:hAnsi="Times New Roman" w:eastAsia="仿宋_GB2312" w:cs="Times New Roman"/>
          <w:b/>
          <w:bCs/>
          <w:sz w:val="32"/>
          <w:szCs w:val="32"/>
        </w:rPr>
        <w:instrText xml:space="preserve"> = 2 \* GB3 \* MERGEFORMAT </w:instrText>
      </w:r>
      <w:r>
        <w:rPr>
          <w:rFonts w:hint="default" w:ascii="Times New Roman" w:hAnsi="Times New Roman" w:eastAsia="仿宋_GB2312" w:cs="Times New Roman"/>
          <w:b/>
          <w:bCs/>
          <w:sz w:val="32"/>
          <w:szCs w:val="32"/>
        </w:rPr>
        <w:fldChar w:fldCharType="separate"/>
      </w:r>
      <w:r>
        <w:rPr>
          <w:rFonts w:hint="default" w:ascii="Times New Roman" w:hAnsi="Times New Roman" w:eastAsia="仿宋_GB2312" w:cs="Times New Roman"/>
          <w:b/>
          <w:bCs/>
          <w:sz w:val="32"/>
          <w:szCs w:val="32"/>
        </w:rPr>
        <w:t>②</w:t>
      </w:r>
      <w:r>
        <w:rPr>
          <w:rFonts w:hint="default" w:ascii="Times New Roman" w:hAnsi="Times New Roman" w:eastAsia="仿宋_GB2312" w:cs="Times New Roman"/>
          <w:b/>
          <w:bCs/>
          <w:sz w:val="32"/>
          <w:szCs w:val="32"/>
        </w:rPr>
        <w:fldChar w:fldCharType="end"/>
      </w:r>
      <w:r>
        <w:rPr>
          <w:rFonts w:hint="default" w:ascii="Times New Roman" w:hAnsi="Times New Roman" w:eastAsia="仿宋_GB2312" w:cs="Times New Roman"/>
          <w:b/>
          <w:bCs/>
          <w:sz w:val="32"/>
          <w:szCs w:val="32"/>
        </w:rPr>
        <w:t xml:space="preserve"> 节水型工业园区</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近期，规划在巴中经济开发区、平昌县经开区、巴州工业园进行节水改造建设；春在农产品加工区、东榆工业园进行资源高效循环利用项目，包括：中水回用、能源梯级利用、热供气管网改造、综合能源集成等园区综合能效提升。预计投资12000万元，创建1家以上节水型工业园区。</w:t>
      </w:r>
    </w:p>
    <w:p>
      <w:pPr>
        <w:pStyle w:val="32"/>
        <w:snapToGrid/>
        <w:ind w:firstLine="0" w:firstLineChars="0"/>
        <w:jc w:val="center"/>
        <w:rPr>
          <w:rFonts w:hint="default" w:ascii="Times New Roman" w:hAnsi="Times New Roman" w:eastAsia="黑体" w:cs="Times New Roman"/>
          <w:b w:val="0"/>
          <w:sz w:val="24"/>
          <w:szCs w:val="24"/>
        </w:rPr>
      </w:pPr>
      <w:r>
        <w:rPr>
          <w:rFonts w:hint="default" w:ascii="Times New Roman" w:hAnsi="Times New Roman" w:eastAsia="黑体" w:cs="Times New Roman"/>
          <w:b w:val="0"/>
          <w:sz w:val="24"/>
          <w:szCs w:val="24"/>
        </w:rPr>
        <w:t>表5.10  巴中市工业园区节水项目</w:t>
      </w:r>
    </w:p>
    <w:tbl>
      <w:tblPr>
        <w:tblStyle w:val="18"/>
        <w:tblW w:w="8710" w:type="dxa"/>
        <w:tblInd w:w="103" w:type="dxa"/>
        <w:tblLayout w:type="fixed"/>
        <w:tblCellMar>
          <w:top w:w="0" w:type="dxa"/>
          <w:left w:w="108" w:type="dxa"/>
          <w:bottom w:w="0" w:type="dxa"/>
          <w:right w:w="108" w:type="dxa"/>
        </w:tblCellMar>
      </w:tblPr>
      <w:tblGrid>
        <w:gridCol w:w="1935"/>
        <w:gridCol w:w="1210"/>
        <w:gridCol w:w="2005"/>
        <w:gridCol w:w="2295"/>
        <w:gridCol w:w="1265"/>
      </w:tblGrid>
      <w:tr>
        <w:tblPrEx>
          <w:tblCellMar>
            <w:top w:w="0" w:type="dxa"/>
            <w:left w:w="108" w:type="dxa"/>
            <w:bottom w:w="0" w:type="dxa"/>
            <w:right w:w="108" w:type="dxa"/>
          </w:tblCellMar>
        </w:tblPrEx>
        <w:trPr>
          <w:trHeight w:val="540" w:hRule="atLeast"/>
        </w:trPr>
        <w:tc>
          <w:tcPr>
            <w:tcW w:w="19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hint="default" w:ascii="Times New Roman" w:hAnsi="Times New Roman" w:eastAsia="黑体" w:cs="Times New Roman"/>
                <w:b/>
                <w:bCs/>
                <w:sz w:val="20"/>
                <w:szCs w:val="20"/>
              </w:rPr>
            </w:pPr>
            <w:r>
              <w:rPr>
                <w:rFonts w:hint="default" w:ascii="Times New Roman" w:hAnsi="Times New Roman" w:eastAsia="黑体" w:cs="Times New Roman"/>
                <w:b/>
                <w:bCs/>
                <w:kern w:val="0"/>
                <w:sz w:val="20"/>
                <w:szCs w:val="20"/>
                <w:lang w:bidi="ar"/>
              </w:rPr>
              <w:t>名称</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hint="default" w:ascii="Times New Roman" w:hAnsi="Times New Roman" w:eastAsia="黑体" w:cs="Times New Roman"/>
                <w:b/>
                <w:bCs/>
                <w:kern w:val="0"/>
                <w:sz w:val="20"/>
                <w:szCs w:val="20"/>
                <w:lang w:bidi="ar"/>
              </w:rPr>
            </w:pPr>
            <w:r>
              <w:rPr>
                <w:rFonts w:hint="default" w:ascii="Times New Roman" w:hAnsi="Times New Roman" w:eastAsia="黑体" w:cs="Times New Roman"/>
                <w:b/>
                <w:bCs/>
                <w:kern w:val="0"/>
                <w:sz w:val="20"/>
                <w:szCs w:val="20"/>
                <w:lang w:bidi="ar"/>
              </w:rPr>
              <w:t>所在地</w:t>
            </w:r>
          </w:p>
        </w:tc>
        <w:tc>
          <w:tcPr>
            <w:tcW w:w="20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hint="default" w:ascii="Times New Roman" w:hAnsi="Times New Roman" w:eastAsia="黑体" w:cs="Times New Roman"/>
                <w:b/>
                <w:bCs/>
                <w:kern w:val="0"/>
                <w:sz w:val="20"/>
                <w:szCs w:val="20"/>
                <w:lang w:bidi="ar"/>
              </w:rPr>
            </w:pPr>
            <w:r>
              <w:rPr>
                <w:rFonts w:hint="default" w:ascii="Times New Roman" w:hAnsi="Times New Roman" w:eastAsia="黑体" w:cs="Times New Roman"/>
                <w:b/>
                <w:bCs/>
                <w:kern w:val="0"/>
                <w:sz w:val="20"/>
                <w:szCs w:val="20"/>
                <w:lang w:bidi="ar"/>
              </w:rPr>
              <w:t>主导产业定位</w:t>
            </w:r>
          </w:p>
        </w:tc>
        <w:tc>
          <w:tcPr>
            <w:tcW w:w="22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hint="default" w:ascii="Times New Roman" w:hAnsi="Times New Roman" w:eastAsia="黑体" w:cs="Times New Roman"/>
                <w:b/>
                <w:bCs/>
                <w:kern w:val="0"/>
                <w:sz w:val="20"/>
                <w:szCs w:val="20"/>
                <w:lang w:bidi="ar"/>
              </w:rPr>
            </w:pPr>
            <w:r>
              <w:rPr>
                <w:rFonts w:hint="default" w:ascii="Times New Roman" w:hAnsi="Times New Roman" w:eastAsia="黑体" w:cs="Times New Roman"/>
                <w:b/>
                <w:bCs/>
                <w:kern w:val="0"/>
                <w:sz w:val="20"/>
                <w:szCs w:val="20"/>
                <w:lang w:bidi="ar"/>
              </w:rPr>
              <w:t>建设内容</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uto"/>
              <w:ind w:firstLine="0" w:firstLineChars="0"/>
              <w:jc w:val="center"/>
              <w:textAlignment w:val="center"/>
              <w:rPr>
                <w:rFonts w:hint="default" w:ascii="Times New Roman" w:hAnsi="Times New Roman" w:eastAsia="黑体" w:cs="Times New Roman"/>
                <w:b/>
                <w:bCs/>
                <w:kern w:val="0"/>
                <w:sz w:val="20"/>
                <w:szCs w:val="20"/>
                <w:lang w:bidi="ar"/>
              </w:rPr>
            </w:pPr>
            <w:r>
              <w:rPr>
                <w:rFonts w:hint="default" w:ascii="Times New Roman" w:hAnsi="Times New Roman" w:eastAsia="黑体" w:cs="Times New Roman"/>
                <w:b/>
                <w:bCs/>
                <w:kern w:val="0"/>
                <w:sz w:val="20"/>
                <w:szCs w:val="20"/>
                <w:lang w:bidi="ar"/>
              </w:rPr>
              <w:t>规划投资（万元）</w:t>
            </w:r>
          </w:p>
        </w:tc>
      </w:tr>
      <w:tr>
        <w:tblPrEx>
          <w:tblCellMar>
            <w:top w:w="0" w:type="dxa"/>
            <w:left w:w="108" w:type="dxa"/>
            <w:bottom w:w="0" w:type="dxa"/>
            <w:right w:w="108" w:type="dxa"/>
          </w:tblCellMar>
        </w:tblPrEx>
        <w:trPr>
          <w:trHeight w:val="545" w:hRule="atLeast"/>
        </w:trPr>
        <w:tc>
          <w:tcPr>
            <w:tcW w:w="19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lang w:bidi="ar"/>
              </w:rPr>
              <w:t>四川巴中经济开发区</w:t>
            </w:r>
          </w:p>
        </w:tc>
        <w:tc>
          <w:tcPr>
            <w:tcW w:w="1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lang w:bidi="ar"/>
              </w:rPr>
              <w:t>巴州区</w:t>
            </w:r>
          </w:p>
        </w:tc>
        <w:tc>
          <w:tcPr>
            <w:tcW w:w="20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lang w:bidi="ar"/>
              </w:rPr>
              <w:t>生物医药、新能源新材料</w:t>
            </w:r>
          </w:p>
        </w:tc>
        <w:tc>
          <w:tcPr>
            <w:tcW w:w="22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lang w:bidi="ar"/>
              </w:rPr>
              <w:t>园区污水处理厂建设，污水回用。</w:t>
            </w:r>
          </w:p>
        </w:tc>
        <w:tc>
          <w:tcPr>
            <w:tcW w:w="12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bidi="ar"/>
              </w:rPr>
              <w:t>3000</w:t>
            </w:r>
          </w:p>
        </w:tc>
      </w:tr>
      <w:tr>
        <w:tblPrEx>
          <w:tblCellMar>
            <w:top w:w="0" w:type="dxa"/>
            <w:left w:w="108" w:type="dxa"/>
            <w:bottom w:w="0" w:type="dxa"/>
            <w:right w:w="108" w:type="dxa"/>
          </w:tblCellMar>
        </w:tblPrEx>
        <w:trPr>
          <w:trHeight w:val="485" w:hRule="atLeast"/>
        </w:trPr>
        <w:tc>
          <w:tcPr>
            <w:tcW w:w="19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lang w:bidi="ar"/>
              </w:rPr>
              <w:t>四川平昌经济开发区</w:t>
            </w:r>
          </w:p>
        </w:tc>
        <w:tc>
          <w:tcPr>
            <w:tcW w:w="1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lang w:bidi="ar"/>
              </w:rPr>
              <w:t>平昌县</w:t>
            </w:r>
          </w:p>
        </w:tc>
        <w:tc>
          <w:tcPr>
            <w:tcW w:w="20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lang w:bidi="ar"/>
              </w:rPr>
              <w:t>食品饮料，机械制造</w:t>
            </w:r>
          </w:p>
        </w:tc>
        <w:tc>
          <w:tcPr>
            <w:tcW w:w="22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lang w:bidi="ar"/>
              </w:rPr>
              <w:t>提高资源利用率、加大污水集中处理。</w:t>
            </w:r>
          </w:p>
        </w:tc>
        <w:tc>
          <w:tcPr>
            <w:tcW w:w="12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bidi="ar"/>
              </w:rPr>
              <w:t>2000</w:t>
            </w:r>
          </w:p>
        </w:tc>
      </w:tr>
      <w:tr>
        <w:tblPrEx>
          <w:tblCellMar>
            <w:top w:w="0" w:type="dxa"/>
            <w:left w:w="108" w:type="dxa"/>
            <w:bottom w:w="0" w:type="dxa"/>
            <w:right w:w="108" w:type="dxa"/>
          </w:tblCellMar>
        </w:tblPrEx>
        <w:trPr>
          <w:trHeight w:val="540" w:hRule="atLeast"/>
        </w:trPr>
        <w:tc>
          <w:tcPr>
            <w:tcW w:w="19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lang w:bidi="ar"/>
              </w:rPr>
              <w:t>巴州工业园</w:t>
            </w:r>
          </w:p>
        </w:tc>
        <w:tc>
          <w:tcPr>
            <w:tcW w:w="1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lang w:bidi="ar"/>
              </w:rPr>
              <w:t>巴州区</w:t>
            </w:r>
          </w:p>
        </w:tc>
        <w:tc>
          <w:tcPr>
            <w:tcW w:w="20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lang w:bidi="ar"/>
              </w:rPr>
              <w:t>食品饮料、生物医药</w:t>
            </w:r>
          </w:p>
        </w:tc>
        <w:tc>
          <w:tcPr>
            <w:tcW w:w="22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lang w:bidi="ar"/>
              </w:rPr>
              <w:t>园区企业水平衡测试，节水改造</w:t>
            </w:r>
          </w:p>
        </w:tc>
        <w:tc>
          <w:tcPr>
            <w:tcW w:w="12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bidi="ar"/>
              </w:rPr>
              <w:t>2000</w:t>
            </w:r>
          </w:p>
        </w:tc>
      </w:tr>
      <w:tr>
        <w:tblPrEx>
          <w:tblCellMar>
            <w:top w:w="0" w:type="dxa"/>
            <w:left w:w="108" w:type="dxa"/>
            <w:bottom w:w="0" w:type="dxa"/>
            <w:right w:w="108" w:type="dxa"/>
          </w:tblCellMar>
        </w:tblPrEx>
        <w:trPr>
          <w:trHeight w:val="540" w:hRule="atLeast"/>
        </w:trPr>
        <w:tc>
          <w:tcPr>
            <w:tcW w:w="19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lang w:bidi="ar"/>
              </w:rPr>
              <w:t>东榆工业园</w:t>
            </w:r>
          </w:p>
        </w:tc>
        <w:tc>
          <w:tcPr>
            <w:tcW w:w="1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lang w:bidi="ar"/>
              </w:rPr>
              <w:t>南江县</w:t>
            </w:r>
          </w:p>
        </w:tc>
        <w:tc>
          <w:tcPr>
            <w:tcW w:w="20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lang w:bidi="ar"/>
              </w:rPr>
              <w:t>食品饮料、新能源新材料</w:t>
            </w:r>
          </w:p>
        </w:tc>
        <w:tc>
          <w:tcPr>
            <w:tcW w:w="22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lang w:bidi="ar"/>
              </w:rPr>
              <w:t>一水多用、园区循环用水。</w:t>
            </w:r>
          </w:p>
        </w:tc>
        <w:tc>
          <w:tcPr>
            <w:tcW w:w="12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bidi="ar"/>
              </w:rPr>
              <w:t>2000</w:t>
            </w:r>
          </w:p>
        </w:tc>
      </w:tr>
      <w:tr>
        <w:tblPrEx>
          <w:tblCellMar>
            <w:top w:w="0" w:type="dxa"/>
            <w:left w:w="108" w:type="dxa"/>
            <w:bottom w:w="0" w:type="dxa"/>
            <w:right w:w="108" w:type="dxa"/>
          </w:tblCellMar>
        </w:tblPrEx>
        <w:trPr>
          <w:trHeight w:val="540" w:hRule="atLeast"/>
        </w:trPr>
        <w:tc>
          <w:tcPr>
            <w:tcW w:w="19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lang w:bidi="ar"/>
              </w:rPr>
            </w:pPr>
            <w:r>
              <w:rPr>
                <w:rFonts w:hint="default" w:ascii="Times New Roman" w:hAnsi="Times New Roman" w:cs="Times New Roman"/>
                <w:sz w:val="20"/>
                <w:szCs w:val="20"/>
                <w:lang w:bidi="ar"/>
              </w:rPr>
              <w:t>春在农产品加工区</w:t>
            </w:r>
          </w:p>
        </w:tc>
        <w:tc>
          <w:tcPr>
            <w:tcW w:w="1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lang w:bidi="ar"/>
              </w:rPr>
            </w:pPr>
            <w:r>
              <w:rPr>
                <w:rFonts w:hint="default" w:ascii="Times New Roman" w:hAnsi="Times New Roman" w:cs="Times New Roman"/>
                <w:sz w:val="20"/>
                <w:szCs w:val="20"/>
                <w:lang w:bidi="ar"/>
              </w:rPr>
              <w:t>通江县</w:t>
            </w:r>
          </w:p>
        </w:tc>
        <w:tc>
          <w:tcPr>
            <w:tcW w:w="20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lang w:bidi="ar"/>
              </w:rPr>
            </w:pPr>
            <w:r>
              <w:rPr>
                <w:rFonts w:hint="default" w:ascii="Times New Roman" w:hAnsi="Times New Roman" w:cs="Times New Roman"/>
                <w:sz w:val="20"/>
                <w:szCs w:val="20"/>
                <w:lang w:bidi="ar"/>
              </w:rPr>
              <w:t>食品饮料</w:t>
            </w:r>
          </w:p>
        </w:tc>
        <w:tc>
          <w:tcPr>
            <w:tcW w:w="22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lang w:bidi="ar"/>
              </w:rPr>
            </w:pPr>
            <w:r>
              <w:rPr>
                <w:rFonts w:hint="default" w:ascii="Times New Roman" w:hAnsi="Times New Roman" w:cs="Times New Roman"/>
                <w:sz w:val="20"/>
                <w:szCs w:val="20"/>
                <w:lang w:bidi="ar"/>
              </w:rPr>
              <w:t>中水回用，能源梯级利用、热供气等管网改造。</w:t>
            </w:r>
          </w:p>
        </w:tc>
        <w:tc>
          <w:tcPr>
            <w:tcW w:w="12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0"/>
                <w:szCs w:val="20"/>
                <w:lang w:bidi="ar"/>
              </w:rPr>
            </w:pPr>
            <w:r>
              <w:rPr>
                <w:rFonts w:hint="default" w:ascii="Times New Roman" w:hAnsi="Times New Roman" w:cs="Times New Roman"/>
                <w:color w:val="auto"/>
                <w:sz w:val="20"/>
                <w:szCs w:val="20"/>
                <w:lang w:bidi="ar"/>
              </w:rPr>
              <w:t>3000</w:t>
            </w:r>
          </w:p>
        </w:tc>
      </w:tr>
      <w:tr>
        <w:tblPrEx>
          <w:tblCellMar>
            <w:top w:w="0" w:type="dxa"/>
            <w:left w:w="108" w:type="dxa"/>
            <w:bottom w:w="0" w:type="dxa"/>
            <w:right w:w="108" w:type="dxa"/>
          </w:tblCellMar>
        </w:tblPrEx>
        <w:trPr>
          <w:trHeight w:val="540" w:hRule="atLeast"/>
        </w:trPr>
        <w:tc>
          <w:tcPr>
            <w:tcW w:w="19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lang w:bidi="ar"/>
              </w:rPr>
              <w:t>合计</w:t>
            </w:r>
          </w:p>
        </w:tc>
        <w:tc>
          <w:tcPr>
            <w:tcW w:w="1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p>
        </w:tc>
        <w:tc>
          <w:tcPr>
            <w:tcW w:w="20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p>
        </w:tc>
        <w:tc>
          <w:tcPr>
            <w:tcW w:w="22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left"/>
              <w:rPr>
                <w:rFonts w:hint="default" w:ascii="Times New Roman" w:hAnsi="Times New Roman" w:cs="Times New Roman"/>
                <w:sz w:val="20"/>
                <w:szCs w:val="20"/>
              </w:rPr>
            </w:pPr>
          </w:p>
        </w:tc>
        <w:tc>
          <w:tcPr>
            <w:tcW w:w="12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bidi="ar"/>
              </w:rPr>
              <w:t>12000</w:t>
            </w:r>
          </w:p>
        </w:tc>
      </w:tr>
    </w:tbl>
    <w:p>
      <w:pPr>
        <w:spacing w:line="360" w:lineRule="auto"/>
        <w:ind w:firstLine="0" w:firstLineChars="0"/>
        <w:rPr>
          <w:rFonts w:hint="default" w:ascii="Times New Roman" w:hAnsi="Times New Roman" w:cs="Times New Roman"/>
        </w:rPr>
      </w:pPr>
      <w:r>
        <w:rPr>
          <w:rFonts w:hint="default" w:ascii="Times New Roman" w:hAnsi="Times New Roman" w:eastAsia="黑体" w:cs="Times New Roman"/>
          <w:sz w:val="21"/>
          <w:szCs w:val="21"/>
        </w:rPr>
        <w:t>* 数据来源：《巴中市“十四五”工业发展规划》</w:t>
      </w:r>
    </w:p>
    <w:p>
      <w:pPr>
        <w:pStyle w:val="5"/>
        <w:keepNext/>
        <w:keepLines/>
        <w:pageBreakBefore w:val="0"/>
        <w:widowControl w:val="0"/>
        <w:numPr>
          <w:ilvl w:val="255"/>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color w:val="auto"/>
          <w:sz w:val="32"/>
          <w:szCs w:val="32"/>
        </w:rPr>
      </w:pPr>
      <w:bookmarkStart w:id="187" w:name="_Toc24025"/>
      <w:bookmarkStart w:id="188" w:name="_Toc31177"/>
      <w:bookmarkStart w:id="189" w:name="_Toc100673821"/>
      <w:bookmarkStart w:id="190" w:name="_Toc1236"/>
      <w:bookmarkStart w:id="191" w:name="_Toc9337"/>
      <w:bookmarkStart w:id="192" w:name="_Toc25399"/>
      <w:r>
        <w:rPr>
          <w:rFonts w:hint="eastAsia" w:ascii="楷体_GB2312" w:hAnsi="楷体_GB2312" w:eastAsia="楷体_GB2312" w:cs="楷体_GB2312"/>
          <w:color w:val="auto"/>
          <w:sz w:val="32"/>
          <w:szCs w:val="32"/>
        </w:rPr>
        <w:t>（三）城镇生活</w:t>
      </w:r>
      <w:bookmarkEnd w:id="187"/>
      <w:bookmarkEnd w:id="188"/>
      <w:r>
        <w:rPr>
          <w:rFonts w:hint="eastAsia" w:ascii="楷体_GB2312" w:hAnsi="楷体_GB2312" w:eastAsia="楷体_GB2312" w:cs="楷体_GB2312"/>
          <w:color w:val="auto"/>
          <w:sz w:val="32"/>
          <w:szCs w:val="32"/>
        </w:rPr>
        <w:t>节水工程</w:t>
      </w:r>
      <w:bookmarkEnd w:id="189"/>
      <w:bookmarkEnd w:id="190"/>
      <w:bookmarkEnd w:id="191"/>
      <w:bookmarkEnd w:id="192"/>
    </w:p>
    <w:p>
      <w:pPr>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（1）规划目标</w:t>
      </w:r>
    </w:p>
    <w:p>
      <w:pPr>
        <w:pStyle w:val="7"/>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建立“节水型城市”和“节水型社会”为目标，建立起城镇生活节水体系框架，各项指标达到国内平均水平，部分项目达到国内先进省市水平。持续推进以城市供水、管网改造、节水型器具推广等为重点的城市节水减排工程建设，积极推行低影响开发建设模式，加强雨水、中水等非常规水源示范项目建设，强化城镇用水管理、降低城镇供水管网漏损率。</w:t>
      </w:r>
    </w:p>
    <w:p>
      <w:pPr>
        <w:pStyle w:val="32"/>
        <w:ind w:firstLine="2640" w:firstLineChars="1100"/>
        <w:rPr>
          <w:rFonts w:hint="default" w:ascii="Times New Roman" w:hAnsi="Times New Roman" w:eastAsia="黑体" w:cs="Times New Roman"/>
          <w:b w:val="0"/>
          <w:sz w:val="24"/>
          <w:szCs w:val="24"/>
        </w:rPr>
      </w:pPr>
      <w:r>
        <w:rPr>
          <w:rFonts w:hint="default" w:ascii="Times New Roman" w:hAnsi="Times New Roman" w:eastAsia="黑体" w:cs="Times New Roman"/>
          <w:b w:val="0"/>
          <w:sz w:val="24"/>
          <w:szCs w:val="24"/>
        </w:rPr>
        <w:t>表 5.11  巴中市城镇节水目标</w:t>
      </w:r>
    </w:p>
    <w:tbl>
      <w:tblPr>
        <w:tblStyle w:val="18"/>
        <w:tblW w:w="8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5"/>
        <w:gridCol w:w="1202"/>
        <w:gridCol w:w="1089"/>
        <w:gridCol w:w="1200"/>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3725" w:type="dxa"/>
            <w:vMerge w:val="restart"/>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黑体" w:cs="Times New Roman"/>
                <w:sz w:val="22"/>
                <w:szCs w:val="22"/>
              </w:rPr>
            </w:pPr>
            <w:r>
              <w:rPr>
                <w:rFonts w:hint="default" w:ascii="Times New Roman" w:hAnsi="Times New Roman" w:eastAsia="黑体" w:cs="Times New Roman"/>
                <w:b/>
                <w:sz w:val="22"/>
                <w:szCs w:val="22"/>
                <w:lang w:bidi="ar"/>
              </w:rPr>
              <w:t>节水指标</w:t>
            </w:r>
          </w:p>
        </w:tc>
        <w:tc>
          <w:tcPr>
            <w:tcW w:w="1202" w:type="dxa"/>
            <w:vMerge w:val="restart"/>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黑体" w:cs="Times New Roman"/>
                <w:sz w:val="22"/>
                <w:szCs w:val="22"/>
              </w:rPr>
            </w:pPr>
            <w:r>
              <w:rPr>
                <w:rFonts w:hint="default" w:ascii="Times New Roman" w:hAnsi="Times New Roman" w:eastAsia="黑体" w:cs="Times New Roman"/>
                <w:b/>
                <w:sz w:val="22"/>
                <w:szCs w:val="22"/>
                <w:lang w:bidi="ar"/>
              </w:rPr>
              <w:t>单位</w:t>
            </w:r>
          </w:p>
        </w:tc>
        <w:tc>
          <w:tcPr>
            <w:tcW w:w="3708" w:type="dxa"/>
            <w:gridSpan w:val="3"/>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黑体" w:cs="Times New Roman"/>
                <w:sz w:val="22"/>
                <w:szCs w:val="22"/>
              </w:rPr>
            </w:pPr>
            <w:r>
              <w:rPr>
                <w:rFonts w:hint="default" w:ascii="Times New Roman" w:hAnsi="Times New Roman" w:eastAsia="黑体" w:cs="Times New Roman"/>
                <w:b/>
                <w:sz w:val="22"/>
                <w:szCs w:val="22"/>
                <w:lang w:bidi="ar"/>
              </w:rPr>
              <w:t>节水目标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3725" w:type="dxa"/>
            <w:vMerge w:val="continue"/>
            <w:shd w:val="clear" w:color="auto" w:fill="auto"/>
            <w:vAlign w:val="center"/>
          </w:tcPr>
          <w:p>
            <w:pPr>
              <w:spacing w:line="360" w:lineRule="auto"/>
              <w:ind w:firstLine="0" w:firstLineChars="0"/>
              <w:jc w:val="center"/>
              <w:rPr>
                <w:rFonts w:hint="default" w:ascii="Times New Roman" w:hAnsi="Times New Roman" w:eastAsia="黑体" w:cs="Times New Roman"/>
                <w:sz w:val="22"/>
                <w:szCs w:val="22"/>
              </w:rPr>
            </w:pPr>
          </w:p>
        </w:tc>
        <w:tc>
          <w:tcPr>
            <w:tcW w:w="1202" w:type="dxa"/>
            <w:vMerge w:val="continue"/>
            <w:shd w:val="clear" w:color="auto" w:fill="auto"/>
            <w:vAlign w:val="center"/>
          </w:tcPr>
          <w:p>
            <w:pPr>
              <w:spacing w:line="360" w:lineRule="auto"/>
              <w:ind w:firstLine="0" w:firstLineChars="0"/>
              <w:jc w:val="center"/>
              <w:rPr>
                <w:rFonts w:hint="default" w:ascii="Times New Roman" w:hAnsi="Times New Roman" w:eastAsia="黑体" w:cs="Times New Roman"/>
                <w:sz w:val="22"/>
                <w:szCs w:val="22"/>
              </w:rPr>
            </w:pPr>
          </w:p>
        </w:tc>
        <w:tc>
          <w:tcPr>
            <w:tcW w:w="1089" w:type="dxa"/>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黑体" w:cs="Times New Roman"/>
                <w:sz w:val="22"/>
                <w:szCs w:val="22"/>
              </w:rPr>
            </w:pPr>
            <w:r>
              <w:rPr>
                <w:rFonts w:hint="default" w:ascii="Times New Roman" w:hAnsi="Times New Roman" w:eastAsia="黑体" w:cs="Times New Roman"/>
                <w:b/>
                <w:sz w:val="22"/>
                <w:szCs w:val="22"/>
                <w:lang w:bidi="ar"/>
              </w:rPr>
              <w:t>现状</w:t>
            </w:r>
          </w:p>
        </w:tc>
        <w:tc>
          <w:tcPr>
            <w:tcW w:w="1200" w:type="dxa"/>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黑体" w:cs="Times New Roman"/>
                <w:sz w:val="22"/>
                <w:szCs w:val="22"/>
              </w:rPr>
            </w:pPr>
            <w:r>
              <w:rPr>
                <w:rFonts w:hint="default" w:ascii="Times New Roman" w:hAnsi="Times New Roman" w:eastAsia="黑体" w:cs="Times New Roman"/>
                <w:b/>
                <w:sz w:val="22"/>
                <w:szCs w:val="22"/>
                <w:lang w:bidi="ar"/>
              </w:rPr>
              <w:t>2025</w:t>
            </w:r>
          </w:p>
        </w:tc>
        <w:tc>
          <w:tcPr>
            <w:tcW w:w="1419" w:type="dxa"/>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黑体" w:cs="Times New Roman"/>
                <w:sz w:val="22"/>
                <w:szCs w:val="22"/>
              </w:rPr>
            </w:pPr>
            <w:r>
              <w:rPr>
                <w:rFonts w:hint="default" w:ascii="Times New Roman" w:hAnsi="Times New Roman" w:eastAsia="黑体" w:cs="Times New Roman"/>
                <w:b/>
                <w:sz w:val="22"/>
                <w:szCs w:val="22"/>
                <w:lang w:bidi="ar"/>
              </w:rPr>
              <w:t>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3725" w:type="dxa"/>
            <w:shd w:val="clear" w:color="auto" w:fill="auto"/>
            <w:vAlign w:val="center"/>
          </w:tcPr>
          <w:p>
            <w:pPr>
              <w:pStyle w:val="15"/>
              <w:kinsoku w:val="0"/>
              <w:overflowPunct w:val="0"/>
              <w:autoSpaceDE w:val="0"/>
              <w:autoSpaceDN w:val="0"/>
              <w:adjustRightInd w:val="0"/>
              <w:spacing w:line="360" w:lineRule="auto"/>
              <w:ind w:firstLine="0" w:firstLineChars="0"/>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bidi="ar"/>
              </w:rPr>
              <w:t>公共供水管网漏损率</w:t>
            </w:r>
          </w:p>
        </w:tc>
        <w:tc>
          <w:tcPr>
            <w:tcW w:w="1202" w:type="dxa"/>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bidi="ar"/>
              </w:rPr>
              <w:t>%</w:t>
            </w:r>
          </w:p>
        </w:tc>
        <w:tc>
          <w:tcPr>
            <w:tcW w:w="1089" w:type="dxa"/>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bidi="ar"/>
              </w:rPr>
              <w:t>10</w:t>
            </w:r>
          </w:p>
        </w:tc>
        <w:tc>
          <w:tcPr>
            <w:tcW w:w="1200" w:type="dxa"/>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仿宋_GB2312" w:cs="Times New Roman"/>
                <w:sz w:val="20"/>
                <w:szCs w:val="20"/>
              </w:rPr>
            </w:pPr>
            <w:r>
              <w:rPr>
                <w:rFonts w:hint="default" w:ascii="Times New Roman" w:hAnsi="Times New Roman" w:eastAsia="仿宋_GB2312" w:cs="Times New Roman"/>
                <w:spacing w:val="-1"/>
                <w:sz w:val="20"/>
                <w:szCs w:val="20"/>
                <w:lang w:bidi="ar"/>
              </w:rPr>
              <w:t>&lt;9.5</w:t>
            </w:r>
          </w:p>
        </w:tc>
        <w:tc>
          <w:tcPr>
            <w:tcW w:w="1419" w:type="dxa"/>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仿宋_GB2312" w:cs="Times New Roman"/>
                <w:sz w:val="20"/>
                <w:szCs w:val="20"/>
              </w:rPr>
            </w:pPr>
            <w:r>
              <w:rPr>
                <w:rFonts w:hint="default" w:ascii="Times New Roman" w:hAnsi="Times New Roman" w:eastAsia="仿宋_GB2312" w:cs="Times New Roman"/>
                <w:spacing w:val="-1"/>
                <w:sz w:val="20"/>
                <w:szCs w:val="20"/>
                <w:lang w:bidi="ar"/>
              </w:rPr>
              <w:t>&lt;9.0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jc w:val="center"/>
        </w:trPr>
        <w:tc>
          <w:tcPr>
            <w:tcW w:w="3725" w:type="dxa"/>
            <w:shd w:val="clear" w:color="auto" w:fill="auto"/>
            <w:vAlign w:val="center"/>
          </w:tcPr>
          <w:p>
            <w:pPr>
              <w:pStyle w:val="15"/>
              <w:kinsoku w:val="0"/>
              <w:overflowPunct w:val="0"/>
              <w:autoSpaceDE w:val="0"/>
              <w:autoSpaceDN w:val="0"/>
              <w:adjustRightInd w:val="0"/>
              <w:spacing w:line="360" w:lineRule="auto"/>
              <w:ind w:firstLine="0" w:firstLineChars="0"/>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bidi="ar"/>
              </w:rPr>
              <w:t>万元第三产业增加值用水量</w:t>
            </w:r>
          </w:p>
        </w:tc>
        <w:tc>
          <w:tcPr>
            <w:tcW w:w="1202" w:type="dxa"/>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仿宋_GB2312" w:cs="Times New Roman"/>
                <w:sz w:val="20"/>
                <w:szCs w:val="20"/>
              </w:rPr>
            </w:pPr>
            <w:r>
              <w:rPr>
                <w:rFonts w:hint="default" w:ascii="Times New Roman" w:hAnsi="Times New Roman" w:eastAsia="仿宋_GB2312" w:cs="Times New Roman"/>
                <w:spacing w:val="-1"/>
                <w:position w:val="-8"/>
                <w:sz w:val="20"/>
                <w:szCs w:val="20"/>
                <w:lang w:bidi="ar"/>
              </w:rPr>
              <w:t>m</w:t>
            </w:r>
            <w:r>
              <w:rPr>
                <w:rFonts w:hint="default" w:ascii="Times New Roman" w:hAnsi="Times New Roman" w:eastAsia="仿宋_GB2312" w:cs="Times New Roman"/>
                <w:spacing w:val="-1"/>
                <w:position w:val="-8"/>
                <w:sz w:val="20"/>
                <w:szCs w:val="20"/>
                <w:vertAlign w:val="superscript"/>
                <w:lang w:bidi="ar"/>
              </w:rPr>
              <w:t>3</w:t>
            </w:r>
            <w:r>
              <w:rPr>
                <w:rFonts w:hint="default" w:ascii="Times New Roman" w:hAnsi="Times New Roman" w:eastAsia="仿宋_GB2312" w:cs="Times New Roman"/>
                <w:spacing w:val="-1"/>
                <w:position w:val="-8"/>
                <w:sz w:val="20"/>
                <w:szCs w:val="20"/>
                <w:lang w:bidi="ar"/>
              </w:rPr>
              <w:t>/万元</w:t>
            </w:r>
          </w:p>
        </w:tc>
        <w:tc>
          <w:tcPr>
            <w:tcW w:w="1089" w:type="dxa"/>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仿宋_GB2312" w:cs="Times New Roman"/>
                <w:sz w:val="20"/>
                <w:szCs w:val="20"/>
                <w:lang w:bidi="ar"/>
              </w:rPr>
            </w:pPr>
            <w:r>
              <w:rPr>
                <w:rFonts w:hint="default" w:ascii="Times New Roman" w:hAnsi="Times New Roman" w:eastAsia="仿宋_GB2312" w:cs="Times New Roman"/>
                <w:sz w:val="20"/>
                <w:szCs w:val="20"/>
                <w:lang w:bidi="ar"/>
              </w:rPr>
              <w:t>3.88</w:t>
            </w:r>
          </w:p>
        </w:tc>
        <w:tc>
          <w:tcPr>
            <w:tcW w:w="1200" w:type="dxa"/>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仿宋_GB2312" w:cs="Times New Roman"/>
                <w:sz w:val="20"/>
                <w:szCs w:val="20"/>
              </w:rPr>
            </w:pPr>
            <w:r>
              <w:rPr>
                <w:rFonts w:hint="default" w:ascii="Times New Roman" w:hAnsi="Times New Roman" w:eastAsia="仿宋_GB2312" w:cs="Times New Roman"/>
                <w:spacing w:val="-1"/>
                <w:sz w:val="20"/>
                <w:szCs w:val="20"/>
                <w:lang w:bidi="ar"/>
              </w:rPr>
              <w:t>&lt;3.5</w:t>
            </w:r>
          </w:p>
        </w:tc>
        <w:tc>
          <w:tcPr>
            <w:tcW w:w="1419" w:type="dxa"/>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仿宋_GB2312" w:cs="Times New Roman"/>
                <w:sz w:val="20"/>
                <w:szCs w:val="20"/>
              </w:rPr>
            </w:pPr>
            <w:r>
              <w:rPr>
                <w:rFonts w:hint="default" w:ascii="Times New Roman" w:hAnsi="Times New Roman" w:eastAsia="仿宋_GB2312" w:cs="Times New Roman"/>
                <w:spacing w:val="-1"/>
                <w:sz w:val="20"/>
                <w:szCs w:val="20"/>
                <w:lang w:bidi="ar"/>
              </w:rPr>
              <w:t>&lt;3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3725" w:type="dxa"/>
            <w:shd w:val="clear" w:color="auto" w:fill="auto"/>
            <w:vAlign w:val="center"/>
          </w:tcPr>
          <w:p>
            <w:pPr>
              <w:pStyle w:val="15"/>
              <w:kinsoku w:val="0"/>
              <w:overflowPunct w:val="0"/>
              <w:autoSpaceDE w:val="0"/>
              <w:autoSpaceDN w:val="0"/>
              <w:adjustRightInd w:val="0"/>
              <w:spacing w:line="360" w:lineRule="auto"/>
              <w:ind w:firstLine="0" w:firstLineChars="0"/>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bidi="ar"/>
              </w:rPr>
              <w:t>万元建筑业增加值用水量</w:t>
            </w:r>
          </w:p>
        </w:tc>
        <w:tc>
          <w:tcPr>
            <w:tcW w:w="1202" w:type="dxa"/>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仿宋_GB2312" w:cs="Times New Roman"/>
                <w:sz w:val="20"/>
                <w:szCs w:val="20"/>
              </w:rPr>
            </w:pPr>
            <w:r>
              <w:rPr>
                <w:rFonts w:hint="default" w:ascii="Times New Roman" w:hAnsi="Times New Roman" w:eastAsia="仿宋_GB2312" w:cs="Times New Roman"/>
                <w:spacing w:val="-1"/>
                <w:position w:val="-8"/>
                <w:sz w:val="20"/>
                <w:szCs w:val="20"/>
                <w:lang w:bidi="ar"/>
              </w:rPr>
              <w:t>m</w:t>
            </w:r>
            <w:r>
              <w:rPr>
                <w:rFonts w:hint="default" w:ascii="Times New Roman" w:hAnsi="Times New Roman" w:eastAsia="仿宋_GB2312" w:cs="Times New Roman"/>
                <w:spacing w:val="-1"/>
                <w:position w:val="-8"/>
                <w:sz w:val="20"/>
                <w:szCs w:val="20"/>
                <w:vertAlign w:val="superscript"/>
                <w:lang w:bidi="ar"/>
              </w:rPr>
              <w:t>3</w:t>
            </w:r>
            <w:r>
              <w:rPr>
                <w:rFonts w:hint="default" w:ascii="Times New Roman" w:hAnsi="Times New Roman" w:eastAsia="仿宋_GB2312" w:cs="Times New Roman"/>
                <w:spacing w:val="-1"/>
                <w:position w:val="-8"/>
                <w:sz w:val="20"/>
                <w:szCs w:val="20"/>
                <w:lang w:bidi="ar"/>
              </w:rPr>
              <w:t>/万元</w:t>
            </w:r>
          </w:p>
        </w:tc>
        <w:tc>
          <w:tcPr>
            <w:tcW w:w="1089" w:type="dxa"/>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bidi="ar"/>
              </w:rPr>
              <w:t>15.36</w:t>
            </w:r>
          </w:p>
        </w:tc>
        <w:tc>
          <w:tcPr>
            <w:tcW w:w="1200" w:type="dxa"/>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仿宋_GB2312" w:cs="Times New Roman"/>
                <w:sz w:val="20"/>
                <w:szCs w:val="20"/>
              </w:rPr>
            </w:pPr>
            <w:r>
              <w:rPr>
                <w:rFonts w:hint="default" w:ascii="Times New Roman" w:hAnsi="Times New Roman" w:eastAsia="仿宋_GB2312" w:cs="Times New Roman"/>
                <w:spacing w:val="-1"/>
                <w:sz w:val="20"/>
                <w:szCs w:val="20"/>
                <w:lang w:bidi="ar"/>
              </w:rPr>
              <w:t>&lt;15</w:t>
            </w:r>
          </w:p>
        </w:tc>
        <w:tc>
          <w:tcPr>
            <w:tcW w:w="1419" w:type="dxa"/>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仿宋_GB2312" w:cs="Times New Roman"/>
                <w:sz w:val="20"/>
                <w:szCs w:val="20"/>
              </w:rPr>
            </w:pPr>
            <w:r>
              <w:rPr>
                <w:rFonts w:hint="default" w:ascii="Times New Roman" w:hAnsi="Times New Roman" w:eastAsia="仿宋_GB2312" w:cs="Times New Roman"/>
                <w:spacing w:val="-1"/>
                <w:sz w:val="20"/>
                <w:szCs w:val="20"/>
                <w:lang w:bidi="ar"/>
              </w:rPr>
              <w:t>&lt;12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3725" w:type="dxa"/>
            <w:shd w:val="clear" w:color="auto" w:fill="auto"/>
            <w:vAlign w:val="center"/>
          </w:tcPr>
          <w:p>
            <w:pPr>
              <w:pStyle w:val="15"/>
              <w:kinsoku w:val="0"/>
              <w:overflowPunct w:val="0"/>
              <w:autoSpaceDE w:val="0"/>
              <w:autoSpaceDN w:val="0"/>
              <w:adjustRightInd w:val="0"/>
              <w:spacing w:line="360" w:lineRule="auto"/>
              <w:ind w:firstLine="0" w:firstLineChars="0"/>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bidi="ar"/>
              </w:rPr>
              <w:t>城镇居民人均生活用水量</w:t>
            </w:r>
          </w:p>
        </w:tc>
        <w:tc>
          <w:tcPr>
            <w:tcW w:w="1202" w:type="dxa"/>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仿宋_GB2312" w:cs="Times New Roman"/>
                <w:sz w:val="20"/>
                <w:szCs w:val="20"/>
              </w:rPr>
            </w:pPr>
            <w:r>
              <w:rPr>
                <w:rFonts w:hint="default" w:ascii="Times New Roman" w:hAnsi="Times New Roman" w:eastAsia="仿宋_GB2312" w:cs="Times New Roman"/>
                <w:spacing w:val="-1"/>
                <w:sz w:val="20"/>
                <w:szCs w:val="20"/>
                <w:lang w:bidi="ar"/>
              </w:rPr>
              <w:t>L/d</w:t>
            </w:r>
          </w:p>
        </w:tc>
        <w:tc>
          <w:tcPr>
            <w:tcW w:w="1089" w:type="dxa"/>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bidi="ar"/>
              </w:rPr>
              <w:t>202</w:t>
            </w:r>
          </w:p>
        </w:tc>
        <w:tc>
          <w:tcPr>
            <w:tcW w:w="1200" w:type="dxa"/>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仿宋_GB2312" w:cs="Times New Roman"/>
                <w:sz w:val="20"/>
                <w:szCs w:val="20"/>
                <w:lang w:bidi="ar"/>
              </w:rPr>
            </w:pPr>
            <w:r>
              <w:rPr>
                <w:rFonts w:hint="default" w:ascii="Times New Roman" w:hAnsi="Times New Roman" w:eastAsia="仿宋_GB2312" w:cs="Times New Roman"/>
                <w:sz w:val="20"/>
                <w:szCs w:val="20"/>
                <w:lang w:bidi="ar"/>
              </w:rPr>
              <w:t>195</w:t>
            </w:r>
          </w:p>
        </w:tc>
        <w:tc>
          <w:tcPr>
            <w:tcW w:w="1419" w:type="dxa"/>
            <w:shd w:val="clear" w:color="auto" w:fill="auto"/>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190</w:t>
            </w:r>
          </w:p>
        </w:tc>
      </w:tr>
    </w:tbl>
    <w:p>
      <w:pPr>
        <w:pStyle w:val="32"/>
        <w:ind w:firstLine="2640" w:firstLineChars="1100"/>
        <w:rPr>
          <w:rFonts w:hint="default" w:ascii="Times New Roman" w:hAnsi="Times New Roman" w:eastAsia="黑体" w:cs="Times New Roman"/>
          <w:b w:val="0"/>
          <w:sz w:val="24"/>
          <w:szCs w:val="24"/>
        </w:rPr>
      </w:pPr>
      <w:bookmarkStart w:id="193" w:name="9.2.3_市政节水措施"/>
      <w:bookmarkEnd w:id="193"/>
      <w:r>
        <w:rPr>
          <w:rFonts w:hint="default" w:ascii="Times New Roman" w:hAnsi="Times New Roman" w:eastAsia="黑体" w:cs="Times New Roman"/>
          <w:b w:val="0"/>
          <w:sz w:val="24"/>
          <w:szCs w:val="24"/>
        </w:rPr>
        <w:t>表5.12 公共机构建设主要指标</w:t>
      </w:r>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1"/>
        <w:gridCol w:w="3590"/>
        <w:gridCol w:w="1229"/>
        <w:gridCol w:w="1000"/>
        <w:gridCol w:w="82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tblHeader/>
          <w:jc w:val="center"/>
        </w:trPr>
        <w:tc>
          <w:tcPr>
            <w:tcW w:w="771" w:type="dxa"/>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黑体" w:cs="Times New Roman"/>
                <w:b/>
                <w:sz w:val="22"/>
                <w:szCs w:val="22"/>
                <w:lang w:bidi="ar"/>
              </w:rPr>
            </w:pPr>
            <w:r>
              <w:rPr>
                <w:rFonts w:hint="default" w:ascii="Times New Roman" w:hAnsi="Times New Roman" w:eastAsia="黑体" w:cs="Times New Roman"/>
                <w:b/>
                <w:sz w:val="22"/>
                <w:szCs w:val="22"/>
                <w:lang w:bidi="ar"/>
              </w:rPr>
              <w:t>序号</w:t>
            </w:r>
          </w:p>
        </w:tc>
        <w:tc>
          <w:tcPr>
            <w:tcW w:w="3590" w:type="dxa"/>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黑体" w:cs="Times New Roman"/>
                <w:b/>
                <w:sz w:val="22"/>
                <w:szCs w:val="22"/>
                <w:lang w:bidi="ar"/>
              </w:rPr>
            </w:pPr>
            <w:r>
              <w:rPr>
                <w:rFonts w:hint="default" w:ascii="Times New Roman" w:hAnsi="Times New Roman" w:eastAsia="黑体" w:cs="Times New Roman"/>
                <w:b/>
                <w:sz w:val="22"/>
                <w:szCs w:val="22"/>
                <w:lang w:bidi="ar"/>
              </w:rPr>
              <w:t>节水指标</w:t>
            </w:r>
          </w:p>
        </w:tc>
        <w:tc>
          <w:tcPr>
            <w:tcW w:w="1229" w:type="dxa"/>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黑体" w:cs="Times New Roman"/>
                <w:b/>
                <w:sz w:val="22"/>
                <w:szCs w:val="22"/>
                <w:lang w:bidi="ar"/>
              </w:rPr>
            </w:pPr>
            <w:r>
              <w:rPr>
                <w:rFonts w:hint="default" w:ascii="Times New Roman" w:hAnsi="Times New Roman" w:eastAsia="黑体" w:cs="Times New Roman"/>
                <w:b/>
                <w:sz w:val="22"/>
                <w:szCs w:val="22"/>
                <w:lang w:bidi="ar"/>
              </w:rPr>
              <w:t>单位</w:t>
            </w:r>
          </w:p>
        </w:tc>
        <w:tc>
          <w:tcPr>
            <w:tcW w:w="1000" w:type="dxa"/>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黑体" w:cs="Times New Roman"/>
                <w:b/>
                <w:sz w:val="22"/>
                <w:szCs w:val="22"/>
                <w:lang w:bidi="ar"/>
              </w:rPr>
            </w:pPr>
            <w:r>
              <w:rPr>
                <w:rFonts w:hint="default" w:ascii="Times New Roman" w:hAnsi="Times New Roman" w:eastAsia="黑体" w:cs="Times New Roman"/>
                <w:b/>
                <w:sz w:val="22"/>
                <w:szCs w:val="22"/>
                <w:lang w:bidi="ar"/>
              </w:rPr>
              <w:t>2020年</w:t>
            </w:r>
          </w:p>
        </w:tc>
        <w:tc>
          <w:tcPr>
            <w:tcW w:w="820" w:type="dxa"/>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黑体" w:cs="Times New Roman"/>
                <w:b/>
                <w:sz w:val="22"/>
                <w:szCs w:val="22"/>
                <w:lang w:bidi="ar"/>
              </w:rPr>
            </w:pPr>
            <w:r>
              <w:rPr>
                <w:rFonts w:hint="default" w:ascii="Times New Roman" w:hAnsi="Times New Roman" w:eastAsia="黑体" w:cs="Times New Roman"/>
                <w:b/>
                <w:sz w:val="22"/>
                <w:szCs w:val="22"/>
                <w:lang w:bidi="ar"/>
              </w:rPr>
              <w:t>2025年</w:t>
            </w:r>
          </w:p>
        </w:tc>
        <w:tc>
          <w:tcPr>
            <w:tcW w:w="1095" w:type="dxa"/>
            <w:vAlign w:val="center"/>
          </w:tcPr>
          <w:p>
            <w:pPr>
              <w:pStyle w:val="15"/>
              <w:kinsoku w:val="0"/>
              <w:overflowPunct w:val="0"/>
              <w:autoSpaceDE w:val="0"/>
              <w:autoSpaceDN w:val="0"/>
              <w:adjustRightInd w:val="0"/>
              <w:spacing w:line="360" w:lineRule="auto"/>
              <w:ind w:firstLine="0" w:firstLineChars="0"/>
              <w:jc w:val="center"/>
              <w:rPr>
                <w:rFonts w:hint="default" w:ascii="Times New Roman" w:hAnsi="Times New Roman" w:eastAsia="黑体" w:cs="Times New Roman"/>
                <w:b/>
                <w:sz w:val="22"/>
                <w:szCs w:val="22"/>
                <w:lang w:bidi="ar"/>
              </w:rPr>
            </w:pPr>
            <w:r>
              <w:rPr>
                <w:rFonts w:hint="default" w:ascii="Times New Roman" w:hAnsi="Times New Roman" w:eastAsia="黑体" w:cs="Times New Roman"/>
                <w:b/>
                <w:sz w:val="22"/>
                <w:szCs w:val="22"/>
                <w:lang w:bidi="ar"/>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71" w:type="dxa"/>
            <w:vAlign w:val="center"/>
          </w:tcPr>
          <w:p>
            <w:pPr>
              <w:spacing w:line="36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3590" w:type="dxa"/>
            <w:vAlign w:val="center"/>
          </w:tcPr>
          <w:p>
            <w:pPr>
              <w:spacing w:line="360" w:lineRule="auto"/>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人均用水量下降（比2015年）</w:t>
            </w:r>
          </w:p>
        </w:tc>
        <w:tc>
          <w:tcPr>
            <w:tcW w:w="1229" w:type="dxa"/>
            <w:vAlign w:val="center"/>
          </w:tcPr>
          <w:p>
            <w:pPr>
              <w:spacing w:line="36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00" w:type="dxa"/>
            <w:vAlign w:val="center"/>
          </w:tcPr>
          <w:p>
            <w:pPr>
              <w:spacing w:line="36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15%</w:t>
            </w:r>
          </w:p>
        </w:tc>
        <w:tc>
          <w:tcPr>
            <w:tcW w:w="820" w:type="dxa"/>
            <w:vAlign w:val="center"/>
          </w:tcPr>
          <w:p>
            <w:pPr>
              <w:spacing w:line="36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19%</w:t>
            </w:r>
          </w:p>
        </w:tc>
        <w:tc>
          <w:tcPr>
            <w:tcW w:w="1095" w:type="dxa"/>
            <w:vAlign w:val="center"/>
          </w:tcPr>
          <w:p>
            <w:pPr>
              <w:spacing w:line="36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jc w:val="center"/>
        </w:trPr>
        <w:tc>
          <w:tcPr>
            <w:tcW w:w="771" w:type="dxa"/>
            <w:vAlign w:val="center"/>
          </w:tcPr>
          <w:p>
            <w:pPr>
              <w:spacing w:line="360" w:lineRule="auto"/>
              <w:ind w:firstLine="0" w:firstLineChars="0"/>
              <w:jc w:val="center"/>
              <w:rPr>
                <w:rFonts w:hint="default" w:ascii="Times New Roman" w:hAnsi="Times New Roman" w:cs="Times New Roman"/>
                <w:sz w:val="20"/>
                <w:szCs w:val="20"/>
                <w:lang w:bidi="ar"/>
              </w:rPr>
            </w:pPr>
            <w:r>
              <w:rPr>
                <w:rFonts w:hint="default" w:ascii="Times New Roman" w:hAnsi="Times New Roman" w:cs="Times New Roman"/>
                <w:sz w:val="20"/>
                <w:szCs w:val="20"/>
                <w:lang w:bidi="ar"/>
              </w:rPr>
              <w:t>2</w:t>
            </w:r>
          </w:p>
        </w:tc>
        <w:tc>
          <w:tcPr>
            <w:tcW w:w="3590" w:type="dxa"/>
            <w:vAlign w:val="center"/>
          </w:tcPr>
          <w:p>
            <w:pPr>
              <w:spacing w:line="360" w:lineRule="auto"/>
              <w:ind w:firstLine="0" w:firstLineChars="0"/>
              <w:jc w:val="left"/>
              <w:rPr>
                <w:rFonts w:hint="default" w:ascii="Times New Roman" w:hAnsi="Times New Roman" w:cs="Times New Roman"/>
                <w:sz w:val="20"/>
                <w:szCs w:val="20"/>
                <w:lang w:bidi="ar"/>
              </w:rPr>
            </w:pPr>
            <w:r>
              <w:rPr>
                <w:rFonts w:hint="default" w:ascii="Times New Roman" w:hAnsi="Times New Roman" w:cs="Times New Roman"/>
                <w:sz w:val="20"/>
                <w:szCs w:val="20"/>
                <w:lang w:bidi="ar"/>
              </w:rPr>
              <w:t>节水型公共机构市直机关建成率</w:t>
            </w:r>
          </w:p>
        </w:tc>
        <w:tc>
          <w:tcPr>
            <w:tcW w:w="1229" w:type="dxa"/>
            <w:vAlign w:val="center"/>
          </w:tcPr>
          <w:p>
            <w:pPr>
              <w:spacing w:line="360" w:lineRule="auto"/>
              <w:ind w:firstLine="0" w:firstLineChars="0"/>
              <w:jc w:val="center"/>
              <w:rPr>
                <w:rFonts w:hint="default" w:ascii="Times New Roman" w:hAnsi="Times New Roman" w:cs="Times New Roman"/>
                <w:sz w:val="20"/>
                <w:szCs w:val="20"/>
                <w:lang w:bidi="ar"/>
              </w:rPr>
            </w:pPr>
            <w:r>
              <w:rPr>
                <w:rFonts w:hint="default" w:ascii="Times New Roman" w:hAnsi="Times New Roman" w:cs="Times New Roman"/>
                <w:sz w:val="20"/>
                <w:szCs w:val="20"/>
                <w:lang w:bidi="ar"/>
              </w:rPr>
              <w:t>%</w:t>
            </w:r>
          </w:p>
        </w:tc>
        <w:tc>
          <w:tcPr>
            <w:tcW w:w="1000" w:type="dxa"/>
            <w:vAlign w:val="center"/>
          </w:tcPr>
          <w:p>
            <w:pPr>
              <w:spacing w:line="360" w:lineRule="auto"/>
              <w:ind w:firstLine="0" w:firstLineChars="0"/>
              <w:jc w:val="center"/>
              <w:rPr>
                <w:rFonts w:hint="default" w:ascii="Times New Roman" w:hAnsi="Times New Roman" w:cs="Times New Roman"/>
                <w:sz w:val="20"/>
                <w:szCs w:val="20"/>
                <w:lang w:bidi="ar"/>
              </w:rPr>
            </w:pPr>
            <w:r>
              <w:rPr>
                <w:rFonts w:hint="default" w:ascii="Times New Roman" w:hAnsi="Times New Roman" w:cs="Times New Roman"/>
                <w:sz w:val="20"/>
                <w:szCs w:val="20"/>
                <w:lang w:bidi="ar"/>
              </w:rPr>
              <w:t>100%</w:t>
            </w:r>
          </w:p>
        </w:tc>
        <w:tc>
          <w:tcPr>
            <w:tcW w:w="820" w:type="dxa"/>
            <w:vAlign w:val="center"/>
          </w:tcPr>
          <w:p>
            <w:pPr>
              <w:spacing w:line="360" w:lineRule="auto"/>
              <w:ind w:firstLine="0" w:firstLineChars="0"/>
              <w:jc w:val="center"/>
              <w:rPr>
                <w:rFonts w:hint="default" w:ascii="Times New Roman" w:hAnsi="Times New Roman" w:cs="Times New Roman"/>
                <w:sz w:val="20"/>
                <w:szCs w:val="20"/>
                <w:lang w:bidi="ar"/>
              </w:rPr>
            </w:pPr>
            <w:r>
              <w:rPr>
                <w:rFonts w:hint="default" w:ascii="Times New Roman" w:hAnsi="Times New Roman" w:cs="Times New Roman"/>
                <w:sz w:val="20"/>
                <w:szCs w:val="20"/>
                <w:lang w:bidi="ar"/>
              </w:rPr>
              <w:t>100%</w:t>
            </w:r>
          </w:p>
        </w:tc>
        <w:tc>
          <w:tcPr>
            <w:tcW w:w="1095" w:type="dxa"/>
            <w:vAlign w:val="center"/>
          </w:tcPr>
          <w:p>
            <w:pPr>
              <w:spacing w:line="360" w:lineRule="auto"/>
              <w:ind w:firstLine="0" w:firstLineChars="0"/>
              <w:jc w:val="center"/>
              <w:rPr>
                <w:rFonts w:hint="default" w:ascii="Times New Roman" w:hAnsi="Times New Roman" w:cs="Times New Roman"/>
                <w:sz w:val="20"/>
                <w:szCs w:val="20"/>
                <w:lang w:bidi="ar"/>
              </w:rPr>
            </w:pPr>
            <w:r>
              <w:rPr>
                <w:rFonts w:hint="default" w:ascii="Times New Roman" w:hAnsi="Times New Roman" w:cs="Times New Roman"/>
                <w:sz w:val="20"/>
                <w:szCs w:val="20"/>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jc w:val="center"/>
        </w:trPr>
        <w:tc>
          <w:tcPr>
            <w:tcW w:w="771" w:type="dxa"/>
            <w:vAlign w:val="center"/>
          </w:tcPr>
          <w:p>
            <w:pPr>
              <w:spacing w:line="36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3590" w:type="dxa"/>
            <w:vAlign w:val="center"/>
          </w:tcPr>
          <w:p>
            <w:pPr>
              <w:spacing w:line="360" w:lineRule="auto"/>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节水型单位建成率</w:t>
            </w:r>
          </w:p>
        </w:tc>
        <w:tc>
          <w:tcPr>
            <w:tcW w:w="1229" w:type="dxa"/>
            <w:vAlign w:val="center"/>
          </w:tcPr>
          <w:p>
            <w:pPr>
              <w:spacing w:line="36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00" w:type="dxa"/>
            <w:vAlign w:val="center"/>
          </w:tcPr>
          <w:p>
            <w:pPr>
              <w:spacing w:line="36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50%</w:t>
            </w:r>
          </w:p>
        </w:tc>
        <w:tc>
          <w:tcPr>
            <w:tcW w:w="820" w:type="dxa"/>
            <w:vAlign w:val="center"/>
          </w:tcPr>
          <w:p>
            <w:pPr>
              <w:spacing w:line="36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80%</w:t>
            </w:r>
          </w:p>
        </w:tc>
        <w:tc>
          <w:tcPr>
            <w:tcW w:w="1095" w:type="dxa"/>
            <w:vAlign w:val="center"/>
          </w:tcPr>
          <w:p>
            <w:pPr>
              <w:spacing w:line="36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预期性</w:t>
            </w:r>
          </w:p>
        </w:tc>
      </w:tr>
    </w:tbl>
    <w:p>
      <w:pPr>
        <w:keepNext w:val="0"/>
        <w:keepLines w:val="0"/>
        <w:pageBreakBefore w:val="0"/>
        <w:widowControl/>
        <w:kinsoku/>
        <w:wordWrap/>
        <w:overflowPunct/>
        <w:topLinePunct w:val="0"/>
        <w:autoSpaceDE/>
        <w:autoSpaceDN/>
        <w:bidi w:val="0"/>
        <w:adjustRightInd/>
        <w:snapToGrid/>
        <w:spacing w:line="540" w:lineRule="exact"/>
        <w:ind w:firstLine="301" w:firstLineChars="100"/>
        <w:textAlignment w:val="auto"/>
        <w:outlineLvl w:val="2"/>
        <w:rPr>
          <w:rFonts w:hint="default" w:ascii="Times New Roman" w:hAnsi="Times New Roman" w:cs="Times New Roman"/>
          <w:b/>
          <w:bCs/>
          <w:sz w:val="30"/>
          <w:szCs w:val="30"/>
        </w:rPr>
      </w:pPr>
      <w:r>
        <w:rPr>
          <w:rFonts w:hint="default" w:ascii="Times New Roman" w:hAnsi="Times New Roman" w:cs="Times New Roman"/>
          <w:b/>
          <w:bCs/>
          <w:sz w:val="30"/>
          <w:szCs w:val="30"/>
        </w:rPr>
        <w:t>（2）城镇节水工程规划</w:t>
      </w:r>
    </w:p>
    <w:p>
      <w:pPr>
        <w:pStyle w:val="24"/>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cs="Times New Roman"/>
          <w:b w:val="0"/>
        </w:rPr>
        <w:sectPr>
          <w:footerReference r:id="rId14" w:type="default"/>
          <w:pgSz w:w="11906" w:h="16838"/>
          <w:pgMar w:top="2098" w:right="1474" w:bottom="1984" w:left="1587" w:header="851" w:footer="1361" w:gutter="0"/>
          <w:pgNumType w:start="1"/>
          <w:cols w:space="0" w:num="1"/>
          <w:rtlGutter w:val="0"/>
          <w:docGrid w:type="lines" w:linePitch="439" w:charSpace="0"/>
        </w:sectPr>
      </w:pPr>
      <w:r>
        <w:rPr>
          <w:rFonts w:hint="default" w:ascii="Times New Roman" w:hAnsi="Times New Roman" w:eastAsia="仿宋_GB2312" w:cs="Times New Roman"/>
          <w:b w:val="0"/>
          <w:sz w:val="32"/>
          <w:szCs w:val="32"/>
        </w:rPr>
        <w:t>城镇生活其节水潜力主要在于城镇供水管改造及节水型社会建设中节水载体建设及节水器具的推广更换等。按照《巴中市海绵城市专项规划2017-2030》中建议的管网漏损率（到2020年12%，到2030年10%），该值比《四川省节水行动方案》中的管网漏损率指标宽松，本规划按《四川省节水行动方案》要求执行。《巴中市海绵城市专项规划2017-2030》中建议优化城市管网布局，但目前尚无相关资料。</w:t>
      </w:r>
    </w:p>
    <w:p>
      <w:pPr>
        <w:pStyle w:val="32"/>
        <w:ind w:firstLine="3120" w:firstLineChars="1300"/>
        <w:rPr>
          <w:rFonts w:hint="default" w:ascii="Times New Roman" w:hAnsi="Times New Roman" w:eastAsia="黑体" w:cs="Times New Roman"/>
          <w:b w:val="0"/>
          <w:sz w:val="24"/>
          <w:szCs w:val="24"/>
        </w:rPr>
      </w:pPr>
      <w:r>
        <w:rPr>
          <w:rFonts w:hint="default" w:ascii="Times New Roman" w:hAnsi="Times New Roman" w:eastAsia="黑体" w:cs="Times New Roman"/>
          <w:b w:val="0"/>
          <w:sz w:val="24"/>
          <w:szCs w:val="24"/>
        </w:rPr>
        <w:t>表5.13  巴中市“十四五”公共供水管网改造工程项目</w:t>
      </w:r>
    </w:p>
    <w:tbl>
      <w:tblPr>
        <w:tblStyle w:val="18"/>
        <w:tblW w:w="14040" w:type="dxa"/>
        <w:tblInd w:w="93" w:type="dxa"/>
        <w:tblLayout w:type="fixed"/>
        <w:tblCellMar>
          <w:top w:w="0" w:type="dxa"/>
          <w:left w:w="108" w:type="dxa"/>
          <w:bottom w:w="0" w:type="dxa"/>
          <w:right w:w="108" w:type="dxa"/>
        </w:tblCellMar>
      </w:tblPr>
      <w:tblGrid>
        <w:gridCol w:w="1080"/>
        <w:gridCol w:w="1080"/>
        <w:gridCol w:w="1080"/>
        <w:gridCol w:w="1080"/>
        <w:gridCol w:w="10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285"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 县（区）名 称</w:t>
            </w:r>
          </w:p>
        </w:tc>
        <w:tc>
          <w:tcPr>
            <w:tcW w:w="1080" w:type="dxa"/>
            <w:vMerge w:val="restart"/>
            <w:tcBorders>
              <w:top w:val="single" w:color="000000" w:sz="8" w:space="0"/>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老旧供水工程和管网更新改造项目</w:t>
            </w:r>
          </w:p>
        </w:tc>
        <w:tc>
          <w:tcPr>
            <w:tcW w:w="3240" w:type="dxa"/>
            <w:gridSpan w:val="3"/>
            <w:tcBorders>
              <w:top w:val="single" w:color="000000" w:sz="8" w:space="0"/>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新建和改扩建工程（处）</w:t>
            </w:r>
          </w:p>
        </w:tc>
        <w:tc>
          <w:tcPr>
            <w:tcW w:w="2160" w:type="dxa"/>
            <w:gridSpan w:val="2"/>
            <w:tcBorders>
              <w:top w:val="single" w:color="000000" w:sz="8" w:space="0"/>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覆盖人口（人）</w:t>
            </w:r>
          </w:p>
        </w:tc>
        <w:tc>
          <w:tcPr>
            <w:tcW w:w="6480" w:type="dxa"/>
            <w:gridSpan w:val="6"/>
            <w:tcBorders>
              <w:top w:val="single" w:color="000000" w:sz="8" w:space="0"/>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项目投资情况（万元）</w:t>
            </w:r>
          </w:p>
        </w:tc>
      </w:tr>
      <w:tr>
        <w:tblPrEx>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p>
        </w:tc>
        <w:tc>
          <w:tcPr>
            <w:tcW w:w="1080" w:type="dxa"/>
            <w:vMerge w:val="continue"/>
            <w:tcBorders>
              <w:top w:val="single" w:color="000000" w:sz="8" w:space="0"/>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p>
        </w:tc>
        <w:tc>
          <w:tcPr>
            <w:tcW w:w="1080" w:type="dxa"/>
            <w:vMerge w:val="restar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总处数</w:t>
            </w:r>
          </w:p>
        </w:tc>
        <w:tc>
          <w:tcPr>
            <w:tcW w:w="1080" w:type="dxa"/>
            <w:vMerge w:val="restar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新建工程处数</w:t>
            </w:r>
          </w:p>
        </w:tc>
        <w:tc>
          <w:tcPr>
            <w:tcW w:w="1080" w:type="dxa"/>
            <w:vMerge w:val="restart"/>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改造工程处数</w:t>
            </w:r>
          </w:p>
        </w:tc>
        <w:tc>
          <w:tcPr>
            <w:tcW w:w="1080" w:type="dxa"/>
            <w:vMerge w:val="restart"/>
            <w:tcBorders>
              <w:top w:val="single" w:color="000000" w:sz="8" w:space="0"/>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覆盖人口（人）</w:t>
            </w:r>
          </w:p>
        </w:tc>
        <w:tc>
          <w:tcPr>
            <w:tcW w:w="1080" w:type="dxa"/>
            <w:vMerge w:val="restart"/>
            <w:tcBorders>
              <w:top w:val="single" w:color="000000" w:sz="8" w:space="0"/>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其中新增覆盖人口</w:t>
            </w:r>
          </w:p>
        </w:tc>
        <w:tc>
          <w:tcPr>
            <w:tcW w:w="1080" w:type="dxa"/>
            <w:vMerge w:val="restart"/>
            <w:tcBorders>
              <w:top w:val="single" w:color="000000" w:sz="8" w:space="0"/>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项目总投资</w:t>
            </w:r>
          </w:p>
        </w:tc>
        <w:tc>
          <w:tcPr>
            <w:tcW w:w="5400" w:type="dxa"/>
            <w:gridSpan w:val="5"/>
            <w:tcBorders>
              <w:top w:val="single" w:color="000000" w:sz="8" w:space="0"/>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“十四五”投资</w:t>
            </w:r>
          </w:p>
        </w:tc>
      </w:tr>
      <w:tr>
        <w:tblPrEx>
          <w:tblCellMar>
            <w:top w:w="0" w:type="dxa"/>
            <w:left w:w="108" w:type="dxa"/>
            <w:bottom w:w="0" w:type="dxa"/>
            <w:right w:w="108" w:type="dxa"/>
          </w:tblCellMar>
        </w:tblPrEx>
        <w:trPr>
          <w:trHeight w:val="49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p>
        </w:tc>
        <w:tc>
          <w:tcPr>
            <w:tcW w:w="1080" w:type="dxa"/>
            <w:vMerge w:val="continue"/>
            <w:tcBorders>
              <w:top w:val="single" w:color="000000" w:sz="8" w:space="0"/>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p>
        </w:tc>
        <w:tc>
          <w:tcPr>
            <w:tcW w:w="1080" w:type="dxa"/>
            <w:vMerge w:val="continue"/>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p>
        </w:tc>
        <w:tc>
          <w:tcPr>
            <w:tcW w:w="1080" w:type="dxa"/>
            <w:vMerge w:val="continue"/>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p>
        </w:tc>
        <w:tc>
          <w:tcPr>
            <w:tcW w:w="1080" w:type="dxa"/>
            <w:vMerge w:val="continue"/>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p>
        </w:tc>
        <w:tc>
          <w:tcPr>
            <w:tcW w:w="1080" w:type="dxa"/>
            <w:vMerge w:val="continue"/>
            <w:tcBorders>
              <w:top w:val="single" w:color="000000" w:sz="8" w:space="0"/>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p>
        </w:tc>
        <w:tc>
          <w:tcPr>
            <w:tcW w:w="1080" w:type="dxa"/>
            <w:vMerge w:val="continue"/>
            <w:tcBorders>
              <w:top w:val="single" w:color="000000" w:sz="8" w:space="0"/>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p>
        </w:tc>
        <w:tc>
          <w:tcPr>
            <w:tcW w:w="1080" w:type="dxa"/>
            <w:vMerge w:val="continue"/>
            <w:tcBorders>
              <w:top w:val="single" w:color="000000" w:sz="8" w:space="0"/>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合计</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中央</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省级</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地方配套</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社会资本及其他</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巴中市</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千人工程</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24</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24</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58348</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1340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7420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7420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5936</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1484</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trHeight w:val="495" w:hRule="atLeast"/>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千人以下集中工程</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21</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21</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7107</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1032</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1218</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1218</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974</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244</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巴州区</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千人工程</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24126</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3876</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3876</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3100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775</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trHeight w:val="495" w:hRule="atLeast"/>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千人以下集中工程</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恩阳区</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千人工程</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70000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20000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1500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trHeight w:val="495" w:hRule="atLeast"/>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千人以下集中工程</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99</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38</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60000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30000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1000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通江县</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千人工程</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trHeight w:val="495" w:hRule="atLeast"/>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千人以下集中工程</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南江县</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千人工程</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11</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11</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24766</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2450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2450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1960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490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trHeight w:val="495" w:hRule="atLeast"/>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千人以下集中工程</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平昌县</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千人工程</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9456</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1340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1106</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1106</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876</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230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trHeight w:val="495" w:hRule="atLeast"/>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千人以下集中工程</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7107</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1032</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1294</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1294</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1039</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255</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合计</w:t>
            </w:r>
          </w:p>
        </w:tc>
        <w:tc>
          <w:tcPr>
            <w:tcW w:w="1080" w:type="dxa"/>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hint="default" w:ascii="Times New Roman" w:hAnsi="Times New Roman" w:cs="Times New Roman"/>
                <w:sz w:val="20"/>
                <w:szCs w:val="20"/>
              </w:rPr>
            </w:pPr>
          </w:p>
        </w:tc>
        <w:tc>
          <w:tcPr>
            <w:tcW w:w="1080" w:type="dxa"/>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195</w:t>
            </w:r>
          </w:p>
        </w:tc>
        <w:tc>
          <w:tcPr>
            <w:tcW w:w="1080" w:type="dxa"/>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1080" w:type="dxa"/>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134</w:t>
            </w:r>
          </w:p>
        </w:tc>
        <w:tc>
          <w:tcPr>
            <w:tcW w:w="1080" w:type="dxa"/>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260910</w:t>
            </w:r>
          </w:p>
        </w:tc>
        <w:tc>
          <w:tcPr>
            <w:tcW w:w="1080" w:type="dxa"/>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54744</w:t>
            </w:r>
          </w:p>
        </w:tc>
        <w:tc>
          <w:tcPr>
            <w:tcW w:w="1080" w:type="dxa"/>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19864</w:t>
            </w:r>
          </w:p>
        </w:tc>
        <w:tc>
          <w:tcPr>
            <w:tcW w:w="1080" w:type="dxa"/>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17364</w:t>
            </w:r>
          </w:p>
        </w:tc>
        <w:tc>
          <w:tcPr>
            <w:tcW w:w="1080" w:type="dxa"/>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13885</w:t>
            </w:r>
          </w:p>
        </w:tc>
        <w:tc>
          <w:tcPr>
            <w:tcW w:w="1080" w:type="dxa"/>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3478</w:t>
            </w:r>
          </w:p>
        </w:tc>
        <w:tc>
          <w:tcPr>
            <w:tcW w:w="1080" w:type="dxa"/>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noWrap/>
            <w:vAlign w:val="center"/>
          </w:tcPr>
          <w:p>
            <w:pPr>
              <w:spacing w:line="240" w:lineRule="auto"/>
              <w:ind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0</w:t>
            </w:r>
          </w:p>
        </w:tc>
      </w:tr>
    </w:tbl>
    <w:p>
      <w:pPr>
        <w:spacing w:line="240" w:lineRule="auto"/>
        <w:ind w:firstLine="0" w:firstLineChars="0"/>
        <w:jc w:val="center"/>
        <w:rPr>
          <w:rFonts w:hint="default" w:ascii="Times New Roman" w:hAnsi="Times New Roman" w:cs="Times New Roman"/>
        </w:rPr>
      </w:pPr>
    </w:p>
    <w:p>
      <w:pPr>
        <w:ind w:firstLine="2160" w:firstLineChars="90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表5.14  巴中市“十四五”节水型社会建设及节水载体建设项目表</w:t>
      </w:r>
    </w:p>
    <w:tbl>
      <w:tblPr>
        <w:tblStyle w:val="18"/>
        <w:tblW w:w="13530" w:type="dxa"/>
        <w:tblInd w:w="93" w:type="dxa"/>
        <w:tblLayout w:type="fixed"/>
        <w:tblCellMar>
          <w:top w:w="0" w:type="dxa"/>
          <w:left w:w="108" w:type="dxa"/>
          <w:bottom w:w="0" w:type="dxa"/>
          <w:right w:w="108" w:type="dxa"/>
        </w:tblCellMar>
      </w:tblPr>
      <w:tblGrid>
        <w:gridCol w:w="1080"/>
        <w:gridCol w:w="1080"/>
        <w:gridCol w:w="1080"/>
        <w:gridCol w:w="3810"/>
        <w:gridCol w:w="1080"/>
        <w:gridCol w:w="1080"/>
        <w:gridCol w:w="1080"/>
        <w:gridCol w:w="1080"/>
        <w:gridCol w:w="1080"/>
        <w:gridCol w:w="1080"/>
      </w:tblGrid>
      <w:tr>
        <w:tblPrEx>
          <w:tblCellMar>
            <w:top w:w="0" w:type="dxa"/>
            <w:left w:w="108" w:type="dxa"/>
            <w:bottom w:w="0" w:type="dxa"/>
            <w:right w:w="108" w:type="dxa"/>
          </w:tblCellMar>
        </w:tblPrEx>
        <w:trPr>
          <w:trHeight w:val="285"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r>
              <w:rPr>
                <w:rFonts w:hint="eastAsia" w:ascii="黑体" w:hAnsi="黑体" w:eastAsia="黑体" w:cs="黑体"/>
                <w:b w:val="0"/>
                <w:bCs w:val="0"/>
                <w:sz w:val="20"/>
                <w:szCs w:val="20"/>
              </w:rPr>
              <w:t>序号</w:t>
            </w:r>
          </w:p>
        </w:tc>
        <w:tc>
          <w:tcPr>
            <w:tcW w:w="1080"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r>
              <w:rPr>
                <w:rFonts w:hint="eastAsia" w:ascii="黑体" w:hAnsi="黑体" w:eastAsia="黑体" w:cs="黑体"/>
                <w:b w:val="0"/>
                <w:bCs w:val="0"/>
                <w:sz w:val="20"/>
                <w:szCs w:val="20"/>
              </w:rPr>
              <w:t>项目名称</w:t>
            </w:r>
          </w:p>
        </w:tc>
        <w:tc>
          <w:tcPr>
            <w:tcW w:w="1080"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r>
              <w:rPr>
                <w:rFonts w:hint="eastAsia" w:ascii="黑体" w:hAnsi="黑体" w:eastAsia="黑体" w:cs="黑体"/>
                <w:b w:val="0"/>
                <w:bCs w:val="0"/>
                <w:sz w:val="20"/>
                <w:szCs w:val="20"/>
              </w:rPr>
              <w:t>建设地点</w:t>
            </w:r>
          </w:p>
        </w:tc>
        <w:tc>
          <w:tcPr>
            <w:tcW w:w="381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r>
              <w:rPr>
                <w:rFonts w:hint="eastAsia" w:ascii="黑体" w:hAnsi="黑体" w:eastAsia="黑体" w:cs="黑体"/>
                <w:b w:val="0"/>
                <w:bCs w:val="0"/>
                <w:sz w:val="20"/>
                <w:szCs w:val="20"/>
              </w:rPr>
              <w:t>主要建设内容和规模</w:t>
            </w:r>
          </w:p>
        </w:tc>
        <w:tc>
          <w:tcPr>
            <w:tcW w:w="6480" w:type="dxa"/>
            <w:gridSpan w:val="6"/>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r>
              <w:rPr>
                <w:rFonts w:hint="eastAsia" w:ascii="黑体" w:hAnsi="黑体" w:eastAsia="黑体" w:cs="黑体"/>
                <w:b w:val="0"/>
                <w:bCs w:val="0"/>
                <w:sz w:val="20"/>
                <w:szCs w:val="20"/>
              </w:rPr>
              <w:t>项目投资情况（万元）</w:t>
            </w:r>
          </w:p>
        </w:tc>
      </w:tr>
      <w:tr>
        <w:tblPrEx>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p>
        </w:tc>
        <w:tc>
          <w:tcPr>
            <w:tcW w:w="1080" w:type="dxa"/>
            <w:vMerge w:val="continue"/>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p>
        </w:tc>
        <w:tc>
          <w:tcPr>
            <w:tcW w:w="1080" w:type="dxa"/>
            <w:vMerge w:val="continue"/>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p>
        </w:tc>
        <w:tc>
          <w:tcPr>
            <w:tcW w:w="381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r>
              <w:rPr>
                <w:rFonts w:hint="eastAsia" w:ascii="黑体" w:hAnsi="黑体" w:eastAsia="黑体" w:cs="黑体"/>
                <w:b w:val="0"/>
                <w:bCs w:val="0"/>
                <w:sz w:val="20"/>
                <w:szCs w:val="20"/>
              </w:rPr>
              <w:t>项目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r>
              <w:rPr>
                <w:rFonts w:hint="eastAsia" w:ascii="黑体" w:hAnsi="黑体" w:eastAsia="黑体" w:cs="黑体"/>
                <w:b w:val="0"/>
                <w:bCs w:val="0"/>
                <w:sz w:val="20"/>
                <w:szCs w:val="20"/>
              </w:rPr>
              <w:t>总投资</w:t>
            </w:r>
          </w:p>
        </w:tc>
        <w:tc>
          <w:tcPr>
            <w:tcW w:w="5400" w:type="dxa"/>
            <w:gridSpan w:val="5"/>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r>
              <w:rPr>
                <w:rFonts w:hint="eastAsia" w:ascii="黑体" w:hAnsi="黑体" w:eastAsia="黑体" w:cs="黑体"/>
                <w:b w:val="0"/>
                <w:bCs w:val="0"/>
                <w:sz w:val="20"/>
                <w:szCs w:val="20"/>
              </w:rPr>
              <w:t>“十四五”投资</w:t>
            </w:r>
          </w:p>
        </w:tc>
      </w:tr>
      <w:tr>
        <w:tblPrEx>
          <w:tblCellMar>
            <w:top w:w="0" w:type="dxa"/>
            <w:left w:w="108" w:type="dxa"/>
            <w:bottom w:w="0" w:type="dxa"/>
            <w:right w:w="108" w:type="dxa"/>
          </w:tblCellMar>
        </w:tblPrEx>
        <w:trPr>
          <w:trHeight w:val="49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p>
        </w:tc>
        <w:tc>
          <w:tcPr>
            <w:tcW w:w="1080" w:type="dxa"/>
            <w:vMerge w:val="continue"/>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p>
        </w:tc>
        <w:tc>
          <w:tcPr>
            <w:tcW w:w="1080" w:type="dxa"/>
            <w:vMerge w:val="continue"/>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p>
        </w:tc>
        <w:tc>
          <w:tcPr>
            <w:tcW w:w="381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p>
        </w:tc>
        <w:tc>
          <w:tcPr>
            <w:tcW w:w="108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r>
              <w:rPr>
                <w:rFonts w:hint="eastAsia" w:ascii="黑体" w:hAnsi="黑体" w:eastAsia="黑体" w:cs="黑体"/>
                <w:b w:val="0"/>
                <w:bCs w:val="0"/>
                <w:sz w:val="20"/>
                <w:szCs w:val="20"/>
              </w:rPr>
              <w:t>合计</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r>
              <w:rPr>
                <w:rFonts w:hint="eastAsia" w:ascii="黑体" w:hAnsi="黑体" w:eastAsia="黑体" w:cs="黑体"/>
                <w:b w:val="0"/>
                <w:bCs w:val="0"/>
                <w:sz w:val="20"/>
                <w:szCs w:val="20"/>
              </w:rPr>
              <w:t>中央</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r>
              <w:rPr>
                <w:rFonts w:hint="eastAsia" w:ascii="黑体" w:hAnsi="黑体" w:eastAsia="黑体" w:cs="黑体"/>
                <w:b w:val="0"/>
                <w:bCs w:val="0"/>
                <w:sz w:val="20"/>
                <w:szCs w:val="20"/>
              </w:rPr>
              <w:t>省级</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r>
              <w:rPr>
                <w:rFonts w:hint="eastAsia" w:ascii="黑体" w:hAnsi="黑体" w:eastAsia="黑体" w:cs="黑体"/>
                <w:b w:val="0"/>
                <w:bCs w:val="0"/>
                <w:sz w:val="20"/>
                <w:szCs w:val="20"/>
              </w:rPr>
              <w:t>地方配套</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黑体"/>
                <w:b w:val="0"/>
                <w:bCs w:val="0"/>
                <w:sz w:val="20"/>
                <w:szCs w:val="20"/>
              </w:rPr>
            </w:pPr>
            <w:r>
              <w:rPr>
                <w:rFonts w:hint="eastAsia" w:ascii="黑体" w:hAnsi="黑体" w:eastAsia="黑体" w:cs="黑体"/>
                <w:b w:val="0"/>
                <w:bCs w:val="0"/>
                <w:sz w:val="20"/>
                <w:szCs w:val="20"/>
              </w:rPr>
              <w:t>社会资本及其他</w:t>
            </w:r>
          </w:p>
        </w:tc>
      </w:tr>
      <w:tr>
        <w:tblPrEx>
          <w:tblCellMar>
            <w:top w:w="0" w:type="dxa"/>
            <w:left w:w="108" w:type="dxa"/>
            <w:bottom w:w="0" w:type="dxa"/>
            <w:right w:w="108" w:type="dxa"/>
          </w:tblCellMar>
        </w:tblPrEx>
        <w:trPr>
          <w:trHeight w:val="97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巴州区节水型社会建设</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巴州区</w:t>
            </w:r>
          </w:p>
        </w:tc>
        <w:tc>
          <w:tcPr>
            <w:tcW w:w="381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Times New Roman" w:hAnsi="Times New Roman" w:cs="Times New Roman"/>
                <w:sz w:val="20"/>
                <w:szCs w:val="20"/>
              </w:rPr>
            </w:pPr>
            <w:r>
              <w:rPr>
                <w:rFonts w:hint="default" w:ascii="Times New Roman" w:hAnsi="Times New Roman" w:cs="Times New Roman"/>
                <w:sz w:val="20"/>
                <w:szCs w:val="20"/>
              </w:rPr>
              <w:t>加强用水定额、用水计划、用水计量、水价机制、节水三同时、供水管网漏损管理、节水载体建设、生活节水器具推广、提高再生水使用、节水宣传等</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109</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109</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109</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trHeight w:val="7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通江县节水型社会建设</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通江县</w:t>
            </w:r>
          </w:p>
        </w:tc>
        <w:tc>
          <w:tcPr>
            <w:tcW w:w="381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Times New Roman" w:hAnsi="Times New Roman" w:cs="Times New Roman"/>
                <w:sz w:val="20"/>
                <w:szCs w:val="20"/>
              </w:rPr>
            </w:pPr>
            <w:r>
              <w:rPr>
                <w:rFonts w:hint="default" w:ascii="Times New Roman" w:hAnsi="Times New Roman" w:cs="Times New Roman"/>
                <w:sz w:val="20"/>
                <w:szCs w:val="20"/>
              </w:rPr>
              <w:t>城乡供水管网改造；更换节水技术工艺和设备、器具；开展节水宣传；落实节水型</w:t>
            </w:r>
            <w:r>
              <w:rPr>
                <w:rFonts w:hint="default" w:ascii="Times New Roman" w:hAnsi="Times New Roman" w:cs="Times New Roman"/>
                <w:sz w:val="20"/>
                <w:szCs w:val="20"/>
                <w:lang w:val="en-US" w:eastAsia="zh-CN"/>
              </w:rPr>
              <w:t>灌</w:t>
            </w:r>
            <w:r>
              <w:rPr>
                <w:rFonts w:hint="default" w:ascii="Times New Roman" w:hAnsi="Times New Roman" w:cs="Times New Roman"/>
                <w:sz w:val="20"/>
                <w:szCs w:val="20"/>
              </w:rPr>
              <w:t>区建设项目等</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10000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1000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600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trHeight w:val="7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南江县节水载体建设</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南江县</w:t>
            </w:r>
          </w:p>
        </w:tc>
        <w:tc>
          <w:tcPr>
            <w:tcW w:w="381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Times New Roman" w:hAnsi="Times New Roman" w:cs="Times New Roman"/>
                <w:sz w:val="20"/>
                <w:szCs w:val="20"/>
              </w:rPr>
            </w:pPr>
            <w:r>
              <w:rPr>
                <w:rFonts w:hint="default" w:ascii="Times New Roman" w:hAnsi="Times New Roman" w:cs="Times New Roman"/>
                <w:sz w:val="20"/>
                <w:szCs w:val="20"/>
              </w:rPr>
              <w:t>持续巩固推进节水型社会创建成果，建立健全节约用水制度，大力推进节水型小区、学校、公共机构建设</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2000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2000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1000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500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500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trHeight w:val="7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平昌县节水载体建设</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平昌县</w:t>
            </w:r>
          </w:p>
        </w:tc>
        <w:tc>
          <w:tcPr>
            <w:tcW w:w="381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Times New Roman" w:hAnsi="Times New Roman" w:cs="Times New Roman"/>
                <w:sz w:val="20"/>
                <w:szCs w:val="20"/>
              </w:rPr>
            </w:pPr>
            <w:r>
              <w:rPr>
                <w:rFonts w:hint="default" w:ascii="Times New Roman" w:hAnsi="Times New Roman" w:cs="Times New Roman"/>
                <w:sz w:val="20"/>
                <w:szCs w:val="20"/>
              </w:rPr>
              <w:t>完成牛角坑水库、双桥水库、友谊水库及县级各部门节水型机关建设</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300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300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300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trHeight w:val="7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5</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恩阳区节水载体建设</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恩阳区</w:t>
            </w:r>
          </w:p>
        </w:tc>
        <w:tc>
          <w:tcPr>
            <w:tcW w:w="381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Times New Roman" w:hAnsi="Times New Roman" w:cs="Times New Roman"/>
                <w:sz w:val="20"/>
                <w:szCs w:val="20"/>
              </w:rPr>
            </w:pPr>
            <w:r>
              <w:rPr>
                <w:rFonts w:hint="default" w:ascii="Times New Roman" w:hAnsi="Times New Roman" w:cs="Times New Roman"/>
                <w:sz w:val="20"/>
                <w:szCs w:val="20"/>
              </w:rPr>
              <w:t>城乡供水管网改造、更换节水设备及计量设施、开展节水宣传、落实节水灌区建设项目等</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2000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2000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待定</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待定</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待定</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待定</w:t>
            </w:r>
          </w:p>
        </w:tc>
      </w:tr>
    </w:tbl>
    <w:p>
      <w:pPr>
        <w:numPr>
          <w:ilvl w:val="255"/>
          <w:numId w:val="0"/>
        </w:numPr>
        <w:spacing w:line="360" w:lineRule="auto"/>
        <w:rPr>
          <w:rFonts w:hint="default" w:ascii="Times New Roman" w:hAnsi="Times New Roman" w:eastAsia="仿宋" w:cs="Times New Roman"/>
          <w:color w:val="auto"/>
        </w:rPr>
        <w:sectPr>
          <w:pgSz w:w="16838" w:h="11906" w:orient="landscape"/>
          <w:pgMar w:top="1588" w:right="1587" w:bottom="1587" w:left="1587" w:header="851" w:footer="992" w:gutter="0"/>
          <w:cols w:space="425" w:num="1"/>
          <w:docGrid w:type="lines" w:linePitch="312" w:charSpace="0"/>
        </w:sectPr>
      </w:pPr>
      <w:r>
        <w:rPr>
          <w:rFonts w:hint="default" w:ascii="Times New Roman" w:hAnsi="Times New Roman" w:eastAsia="黑体" w:cs="Times New Roman"/>
          <w:b/>
          <w:sz w:val="21"/>
          <w:szCs w:val="21"/>
        </w:rPr>
        <w:t>*数据来源：</w:t>
      </w:r>
      <w:r>
        <w:rPr>
          <w:rFonts w:hint="default" w:ascii="Times New Roman" w:hAnsi="Times New Roman" w:eastAsia="黑体" w:cs="Times New Roman"/>
          <w:b w:val="0"/>
          <w:sz w:val="21"/>
          <w:szCs w:val="21"/>
          <w:lang w:eastAsia="zh-CN"/>
        </w:rPr>
        <w:t>《</w:t>
      </w:r>
      <w:r>
        <w:rPr>
          <w:rFonts w:hint="default" w:ascii="Times New Roman" w:hAnsi="Times New Roman" w:eastAsia="黑体" w:cs="Times New Roman"/>
          <w:b w:val="0"/>
          <w:sz w:val="21"/>
          <w:szCs w:val="21"/>
        </w:rPr>
        <w:t>巴中市“十四五”水安全保障规划</w:t>
      </w:r>
      <w:r>
        <w:rPr>
          <w:rFonts w:hint="default" w:ascii="Times New Roman" w:hAnsi="Times New Roman" w:eastAsia="黑体" w:cs="Times New Roman"/>
          <w:b w:val="0"/>
          <w:sz w:val="21"/>
          <w:szCs w:val="21"/>
          <w:lang w:eastAsia="zh-CN"/>
        </w:rPr>
        <w:t>》</w:t>
      </w:r>
      <w:r>
        <w:rPr>
          <w:rFonts w:hint="default" w:ascii="Times New Roman" w:hAnsi="Times New Roman" w:eastAsia="黑体" w:cs="Times New Roman"/>
          <w:b w:val="0"/>
          <w:sz w:val="21"/>
          <w:szCs w:val="21"/>
        </w:rPr>
        <w:t>并结合区县意见进行了部分数据调整。</w:t>
      </w:r>
      <w:bookmarkStart w:id="194" w:name="_Toc24194"/>
      <w:bookmarkStart w:id="195" w:name="_Toc27042"/>
      <w:bookmarkStart w:id="196" w:name="_Toc8935"/>
      <w:bookmarkStart w:id="197" w:name="_Toc100673822"/>
      <w:bookmarkStart w:id="198" w:name="_Toc21492"/>
    </w:p>
    <w:p>
      <w:pPr>
        <w:pStyle w:val="5"/>
        <w:pageBreakBefore w:val="0"/>
        <w:numPr>
          <w:ilvl w:val="255"/>
          <w:numId w:val="0"/>
        </w:numPr>
        <w:kinsoku/>
        <w:wordWrap/>
        <w:overflowPunct/>
        <w:topLinePunct w:val="0"/>
        <w:autoSpaceDE/>
        <w:autoSpaceDN/>
        <w:bidi w:val="0"/>
        <w:adjustRightInd/>
        <w:spacing w:line="560" w:lineRule="exact"/>
        <w:ind w:firstLine="643" w:firstLineChars="200"/>
        <w:jc w:val="both"/>
        <w:textAlignment w:val="auto"/>
        <w:rPr>
          <w:rFonts w:hint="eastAsia" w:ascii="楷体_GB2312" w:hAnsi="楷体_GB2312" w:eastAsia="楷体_GB2312" w:cs="楷体_GB2312"/>
          <w:color w:val="auto"/>
          <w:sz w:val="32"/>
          <w:szCs w:val="32"/>
        </w:rPr>
      </w:pPr>
      <w:bookmarkStart w:id="199" w:name="_Toc22092"/>
      <w:r>
        <w:rPr>
          <w:rFonts w:hint="eastAsia" w:ascii="楷体_GB2312" w:hAnsi="楷体_GB2312" w:eastAsia="楷体_GB2312" w:cs="楷体_GB2312"/>
          <w:color w:val="auto"/>
          <w:sz w:val="32"/>
          <w:szCs w:val="32"/>
        </w:rPr>
        <w:t>（四）非常规水</w:t>
      </w:r>
      <w:bookmarkEnd w:id="194"/>
      <w:bookmarkEnd w:id="195"/>
      <w:r>
        <w:rPr>
          <w:rFonts w:hint="eastAsia" w:ascii="楷体_GB2312" w:hAnsi="楷体_GB2312" w:eastAsia="楷体_GB2312" w:cs="楷体_GB2312"/>
          <w:color w:val="auto"/>
          <w:sz w:val="32"/>
          <w:szCs w:val="32"/>
        </w:rPr>
        <w:t>资源利用工程</w:t>
      </w:r>
      <w:bookmarkEnd w:id="196"/>
      <w:bookmarkEnd w:id="197"/>
      <w:bookmarkEnd w:id="198"/>
      <w:bookmarkEnd w:id="199"/>
    </w:p>
    <w:p>
      <w:pPr>
        <w:pageBreakBefore w:val="0"/>
        <w:widowControl/>
        <w:kinsoku/>
        <w:wordWrap/>
        <w:overflowPunct/>
        <w:topLinePunct w:val="0"/>
        <w:autoSpaceDE/>
        <w:autoSpaceDN/>
        <w:bidi w:val="0"/>
        <w:adjustRightInd/>
        <w:spacing w:line="560" w:lineRule="exact"/>
        <w:ind w:firstLine="643" w:firstLineChars="200"/>
        <w:jc w:val="both"/>
        <w:textAlignment w:val="auto"/>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（1）规划目标</w:t>
      </w:r>
    </w:p>
    <w:p>
      <w:pPr>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巴中市污水资源化利用目前尚处于起步阶段，2020年污水资源再生水利用量仅5万余立方米，非常规水利用水平不高，与建设美丽巴中的需要还存在差距。为贯彻落实中央及省上碳达峰、碳中和战略部署及“十四五”规划纲要相关要求，加快推进巴中市生态文明建设，促进绿色低碳循环发展，推动提高能</w:t>
      </w:r>
      <w:r>
        <w:rPr>
          <w:rFonts w:hint="default" w:ascii="Times New Roman" w:hAnsi="Times New Roman" w:eastAsia="仿宋_GB2312" w:cs="Times New Roman"/>
          <w:spacing w:val="-6"/>
          <w:sz w:val="32"/>
          <w:szCs w:val="32"/>
        </w:rPr>
        <w:t>源资源利用效率，巴中市需要大力发展污水资源化利用建设工作。</w:t>
      </w:r>
    </w:p>
    <w:p>
      <w:pPr>
        <w:pStyle w:val="32"/>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b w:val="0"/>
          <w:sz w:val="32"/>
          <w:szCs w:val="32"/>
        </w:rPr>
        <w:t>根据《四川省水利厅关于开展县域节水型社会达标建设工作的通知》（川水函〔2017〕914号）文件要求，节水型社会建设再生水利用率需达到15%以上。根据《国家节水行动方案》、《四川省节水行动实施方案》中缺水城市再生水利用率要达到20%以上；《关于推进污水资源化利用的指导意见》（发改环资〔2021〕13号）、全国地级及以上缺水城市再生水利用率达到25%以上的要求，并结合《巴中市国民经济和社会发展第十四个五年规划和二〇三五年远景目标纲要》（到2025年城市再生水利用率达到20%）、《巴中市海绵城市专项规划》（2030年城区污水再生利用率达20%以上），因此制定本次规划目标为：到2025年，巴中市城市再生水利用率达到20%；工业用水重复利用、畜禽粪污和渔业养殖尾水资源化利用水平显著提升；污水资源化利用政策体系和市场机制基本建立。到2035年，巴中市再生水利用率需达到25%以上，基本形成系统、安全、环保、经济的污水资源化利用格局。</w:t>
      </w:r>
    </w:p>
    <w:p>
      <w:pPr>
        <w:pStyle w:val="32"/>
        <w:pageBreakBefore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sz w:val="32"/>
          <w:szCs w:val="32"/>
        </w:rPr>
      </w:pPr>
    </w:p>
    <w:p>
      <w:pPr>
        <w:ind w:firstLine="0" w:firstLineChars="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表5.14 巴中市非常规水利用目标</w:t>
      </w:r>
    </w:p>
    <w:tbl>
      <w:tblPr>
        <w:tblStyle w:val="19"/>
        <w:tblW w:w="8175" w:type="dxa"/>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3"/>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3" w:type="dxa"/>
          </w:tcPr>
          <w:p>
            <w:pPr>
              <w:widowControl/>
              <w:spacing w:line="400" w:lineRule="exact"/>
              <w:ind w:firstLine="0" w:firstLineChars="0"/>
              <w:jc w:val="center"/>
              <w:rPr>
                <w:rFonts w:hint="default" w:ascii="Times New Roman" w:hAnsi="Times New Roman" w:eastAsia="黑体" w:cs="Times New Roman"/>
                <w:b/>
                <w:bCs/>
                <w:kern w:val="0"/>
                <w:sz w:val="20"/>
                <w:szCs w:val="20"/>
                <w:lang w:bidi="ar"/>
              </w:rPr>
            </w:pPr>
            <w:r>
              <w:rPr>
                <w:rFonts w:hint="default" w:ascii="Times New Roman" w:hAnsi="Times New Roman" w:eastAsia="黑体" w:cs="Times New Roman"/>
                <w:b/>
                <w:bCs/>
                <w:kern w:val="0"/>
                <w:sz w:val="20"/>
                <w:szCs w:val="20"/>
                <w:lang w:bidi="ar"/>
              </w:rPr>
              <w:t>序 号</w:t>
            </w:r>
          </w:p>
        </w:tc>
        <w:tc>
          <w:tcPr>
            <w:tcW w:w="2130" w:type="dxa"/>
          </w:tcPr>
          <w:p>
            <w:pPr>
              <w:widowControl/>
              <w:spacing w:line="400" w:lineRule="exact"/>
              <w:ind w:firstLine="0" w:firstLineChars="0"/>
              <w:jc w:val="center"/>
              <w:rPr>
                <w:rFonts w:hint="default" w:ascii="Times New Roman" w:hAnsi="Times New Roman" w:eastAsia="黑体" w:cs="Times New Roman"/>
                <w:b/>
                <w:bCs/>
                <w:kern w:val="0"/>
                <w:sz w:val="20"/>
                <w:szCs w:val="20"/>
                <w:lang w:bidi="ar"/>
              </w:rPr>
            </w:pPr>
            <w:r>
              <w:rPr>
                <w:rFonts w:hint="default" w:ascii="Times New Roman" w:hAnsi="Times New Roman" w:eastAsia="黑体" w:cs="Times New Roman"/>
                <w:b/>
                <w:bCs/>
                <w:kern w:val="0"/>
                <w:sz w:val="20"/>
                <w:szCs w:val="20"/>
                <w:lang w:bidi="ar"/>
              </w:rPr>
              <w:t>指 标</w:t>
            </w:r>
          </w:p>
        </w:tc>
        <w:tc>
          <w:tcPr>
            <w:tcW w:w="2131" w:type="dxa"/>
          </w:tcPr>
          <w:p>
            <w:pPr>
              <w:widowControl/>
              <w:spacing w:line="400" w:lineRule="exact"/>
              <w:ind w:firstLine="0" w:firstLineChars="0"/>
              <w:jc w:val="center"/>
              <w:rPr>
                <w:rFonts w:hint="default" w:ascii="Times New Roman" w:hAnsi="Times New Roman" w:eastAsia="黑体" w:cs="Times New Roman"/>
                <w:b/>
                <w:bCs/>
                <w:kern w:val="0"/>
                <w:sz w:val="20"/>
                <w:szCs w:val="20"/>
                <w:lang w:bidi="ar"/>
              </w:rPr>
            </w:pPr>
            <w:r>
              <w:rPr>
                <w:rFonts w:hint="default" w:ascii="Times New Roman" w:hAnsi="Times New Roman" w:eastAsia="黑体" w:cs="Times New Roman"/>
                <w:b/>
                <w:bCs/>
                <w:kern w:val="0"/>
                <w:sz w:val="20"/>
                <w:szCs w:val="20"/>
                <w:lang w:bidi="ar"/>
              </w:rPr>
              <w:t>2025年</w:t>
            </w:r>
          </w:p>
        </w:tc>
        <w:tc>
          <w:tcPr>
            <w:tcW w:w="2131" w:type="dxa"/>
          </w:tcPr>
          <w:p>
            <w:pPr>
              <w:widowControl/>
              <w:spacing w:line="400" w:lineRule="exact"/>
              <w:ind w:firstLine="0" w:firstLineChars="0"/>
              <w:jc w:val="center"/>
              <w:rPr>
                <w:rFonts w:hint="default" w:ascii="Times New Roman" w:hAnsi="Times New Roman" w:eastAsia="黑体" w:cs="Times New Roman"/>
                <w:b/>
                <w:bCs/>
                <w:kern w:val="0"/>
                <w:sz w:val="20"/>
                <w:szCs w:val="20"/>
                <w:lang w:bidi="ar"/>
              </w:rPr>
            </w:pPr>
            <w:r>
              <w:rPr>
                <w:rFonts w:hint="default" w:ascii="Times New Roman" w:hAnsi="Times New Roman" w:eastAsia="黑体" w:cs="Times New Roman"/>
                <w:b/>
                <w:bCs/>
                <w:kern w:val="0"/>
                <w:sz w:val="20"/>
                <w:szCs w:val="20"/>
                <w:lang w:bidi="ar"/>
              </w:rPr>
              <w:t>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3" w:type="dxa"/>
          </w:tcPr>
          <w:p>
            <w:pPr>
              <w:widowControl/>
              <w:spacing w:line="400" w:lineRule="exact"/>
              <w:ind w:firstLine="0" w:firstLineChars="0"/>
              <w:jc w:val="center"/>
              <w:rPr>
                <w:rFonts w:hint="default" w:ascii="Times New Roman" w:hAnsi="Times New Roman" w:cs="Times New Roman"/>
                <w:kern w:val="0"/>
                <w:sz w:val="21"/>
                <w:szCs w:val="21"/>
                <w:lang w:bidi="ar"/>
              </w:rPr>
            </w:pPr>
            <w:r>
              <w:rPr>
                <w:rFonts w:hint="default" w:ascii="Times New Roman" w:hAnsi="Times New Roman" w:cs="Times New Roman"/>
                <w:kern w:val="0"/>
                <w:sz w:val="21"/>
                <w:szCs w:val="21"/>
                <w:lang w:bidi="ar"/>
              </w:rPr>
              <w:t>1</w:t>
            </w:r>
          </w:p>
        </w:tc>
        <w:tc>
          <w:tcPr>
            <w:tcW w:w="2130" w:type="dxa"/>
          </w:tcPr>
          <w:p>
            <w:pPr>
              <w:widowControl/>
              <w:spacing w:line="400" w:lineRule="exact"/>
              <w:ind w:firstLine="0" w:firstLineChars="0"/>
              <w:jc w:val="center"/>
              <w:rPr>
                <w:rFonts w:hint="default" w:ascii="Times New Roman" w:hAnsi="Times New Roman" w:cs="Times New Roman"/>
                <w:kern w:val="0"/>
                <w:sz w:val="21"/>
                <w:szCs w:val="21"/>
                <w:lang w:val="zh-CN" w:bidi="ar"/>
              </w:rPr>
            </w:pPr>
            <w:r>
              <w:rPr>
                <w:rFonts w:hint="default" w:ascii="Times New Roman" w:hAnsi="Times New Roman" w:cs="Times New Roman"/>
                <w:kern w:val="0"/>
                <w:sz w:val="21"/>
                <w:szCs w:val="21"/>
                <w:lang w:bidi="ar"/>
              </w:rPr>
              <w:t>污水再生利用率</w:t>
            </w:r>
          </w:p>
        </w:tc>
        <w:tc>
          <w:tcPr>
            <w:tcW w:w="2131" w:type="dxa"/>
          </w:tcPr>
          <w:p>
            <w:pPr>
              <w:widowControl/>
              <w:spacing w:line="400" w:lineRule="exact"/>
              <w:ind w:firstLine="0" w:firstLineChars="0"/>
              <w:jc w:val="center"/>
              <w:rPr>
                <w:rFonts w:hint="default" w:ascii="Times New Roman" w:hAnsi="Times New Roman" w:cs="Times New Roman"/>
                <w:kern w:val="0"/>
                <w:sz w:val="21"/>
                <w:szCs w:val="21"/>
                <w:lang w:val="zh-CN" w:bidi="ar"/>
              </w:rPr>
            </w:pPr>
            <w:r>
              <w:rPr>
                <w:rFonts w:hint="default" w:ascii="Times New Roman" w:hAnsi="Times New Roman" w:cs="Times New Roman"/>
                <w:kern w:val="0"/>
                <w:sz w:val="21"/>
                <w:szCs w:val="21"/>
                <w:lang w:bidi="ar"/>
              </w:rPr>
              <w:t>20%</w:t>
            </w:r>
          </w:p>
        </w:tc>
        <w:tc>
          <w:tcPr>
            <w:tcW w:w="2131" w:type="dxa"/>
          </w:tcPr>
          <w:p>
            <w:pPr>
              <w:widowControl/>
              <w:spacing w:line="400" w:lineRule="exact"/>
              <w:ind w:firstLine="0" w:firstLineChars="0"/>
              <w:jc w:val="center"/>
              <w:rPr>
                <w:rFonts w:hint="default" w:ascii="Times New Roman" w:hAnsi="Times New Roman" w:cs="Times New Roman"/>
                <w:kern w:val="0"/>
                <w:sz w:val="21"/>
                <w:szCs w:val="21"/>
                <w:lang w:bidi="ar"/>
              </w:rPr>
            </w:pPr>
            <w:r>
              <w:rPr>
                <w:rFonts w:hint="default" w:ascii="Times New Roman" w:hAnsi="Times New Roman" w:cs="Times New Roman"/>
                <w:kern w:val="0"/>
                <w:sz w:val="21"/>
                <w:szCs w:val="21"/>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3" w:type="dxa"/>
          </w:tcPr>
          <w:p>
            <w:pPr>
              <w:widowControl/>
              <w:spacing w:line="400" w:lineRule="exact"/>
              <w:ind w:firstLine="0" w:firstLineChars="0"/>
              <w:jc w:val="center"/>
              <w:rPr>
                <w:rFonts w:hint="default" w:ascii="Times New Roman" w:hAnsi="Times New Roman" w:cs="Times New Roman"/>
                <w:kern w:val="0"/>
                <w:sz w:val="21"/>
                <w:szCs w:val="21"/>
                <w:lang w:bidi="ar"/>
              </w:rPr>
            </w:pPr>
            <w:r>
              <w:rPr>
                <w:rFonts w:hint="default" w:ascii="Times New Roman" w:hAnsi="Times New Roman" w:cs="Times New Roman"/>
                <w:kern w:val="0"/>
                <w:sz w:val="21"/>
                <w:szCs w:val="21"/>
                <w:lang w:bidi="ar"/>
              </w:rPr>
              <w:t>2</w:t>
            </w:r>
          </w:p>
        </w:tc>
        <w:tc>
          <w:tcPr>
            <w:tcW w:w="2130" w:type="dxa"/>
          </w:tcPr>
          <w:p>
            <w:pPr>
              <w:widowControl/>
              <w:spacing w:line="400" w:lineRule="exact"/>
              <w:ind w:firstLine="0" w:firstLineChars="0"/>
              <w:jc w:val="center"/>
              <w:rPr>
                <w:rFonts w:hint="default" w:ascii="Times New Roman" w:hAnsi="Times New Roman" w:cs="Times New Roman"/>
                <w:kern w:val="0"/>
                <w:sz w:val="21"/>
                <w:szCs w:val="21"/>
                <w:lang w:val="zh-CN" w:bidi="ar"/>
              </w:rPr>
            </w:pPr>
            <w:r>
              <w:rPr>
                <w:rFonts w:hint="default" w:ascii="Times New Roman" w:hAnsi="Times New Roman" w:cs="Times New Roman"/>
                <w:kern w:val="0"/>
                <w:sz w:val="21"/>
                <w:szCs w:val="21"/>
                <w:lang w:bidi="ar"/>
              </w:rPr>
              <w:t>雨水资源利用率</w:t>
            </w:r>
          </w:p>
        </w:tc>
        <w:tc>
          <w:tcPr>
            <w:tcW w:w="2131" w:type="dxa"/>
          </w:tcPr>
          <w:p>
            <w:pPr>
              <w:widowControl/>
              <w:spacing w:line="400" w:lineRule="exact"/>
              <w:ind w:firstLine="0" w:firstLineChars="0"/>
              <w:jc w:val="center"/>
              <w:rPr>
                <w:rFonts w:hint="default" w:ascii="Times New Roman" w:hAnsi="Times New Roman" w:cs="Times New Roman"/>
                <w:kern w:val="0"/>
                <w:sz w:val="21"/>
                <w:szCs w:val="21"/>
                <w:lang w:val="zh-CN" w:bidi="ar"/>
              </w:rPr>
            </w:pPr>
            <w:r>
              <w:rPr>
                <w:rFonts w:hint="default" w:ascii="Times New Roman" w:hAnsi="Times New Roman" w:cs="Times New Roman"/>
                <w:kern w:val="0"/>
                <w:sz w:val="21"/>
                <w:szCs w:val="21"/>
                <w:lang w:bidi="ar"/>
              </w:rPr>
              <w:t>3%</w:t>
            </w:r>
          </w:p>
        </w:tc>
        <w:tc>
          <w:tcPr>
            <w:tcW w:w="2131" w:type="dxa"/>
          </w:tcPr>
          <w:p>
            <w:pPr>
              <w:widowControl/>
              <w:spacing w:line="400" w:lineRule="exact"/>
              <w:ind w:firstLine="0" w:firstLineChars="0"/>
              <w:jc w:val="center"/>
              <w:rPr>
                <w:rFonts w:hint="default" w:ascii="Times New Roman" w:hAnsi="Times New Roman" w:cs="Times New Roman"/>
                <w:kern w:val="0"/>
                <w:sz w:val="21"/>
                <w:szCs w:val="21"/>
                <w:lang w:val="zh-CN" w:bidi="ar"/>
              </w:rPr>
            </w:pPr>
            <w:r>
              <w:rPr>
                <w:rFonts w:hint="default" w:ascii="Times New Roman" w:hAnsi="Times New Roman" w:cs="Times New Roman"/>
                <w:kern w:val="0"/>
                <w:sz w:val="21"/>
                <w:szCs w:val="21"/>
                <w:lang w:bidi="ar"/>
              </w:rPr>
              <w:t>4%</w:t>
            </w:r>
          </w:p>
        </w:tc>
      </w:tr>
    </w:tbl>
    <w:p>
      <w:pPr>
        <w:keepNext w:val="0"/>
        <w:keepLines w:val="0"/>
        <w:pageBreakBefore w:val="0"/>
        <w:widowControl/>
        <w:kinsoku/>
        <w:wordWrap/>
        <w:overflowPunct/>
        <w:topLinePunct w:val="0"/>
        <w:autoSpaceDE/>
        <w:autoSpaceDN/>
        <w:bidi w:val="0"/>
        <w:adjustRightInd/>
        <w:snapToGrid/>
        <w:spacing w:line="560" w:lineRule="exact"/>
        <w:ind w:firstLine="321" w:firstLineChars="100"/>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（2）非常规水节水工程规划</w:t>
      </w:r>
    </w:p>
    <w:p>
      <w:pPr>
        <w:pStyle w:val="24"/>
        <w:keepNext w:val="0"/>
        <w:keepLines w:val="0"/>
        <w:pageBreakBefore w:val="0"/>
        <w:kinsoku/>
        <w:wordWrap/>
        <w:overflowPunct/>
        <w:topLinePunct w:val="0"/>
        <w:autoSpaceDE/>
        <w:autoSpaceDN/>
        <w:bidi w:val="0"/>
        <w:adjustRightInd/>
        <w:snapToGrid/>
        <w:spacing w:line="560" w:lineRule="exact"/>
        <w:ind w:firstLine="562"/>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 1 \* GB3 \* MERGEFORMAT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①</w:t>
      </w:r>
      <w:r>
        <w:rPr>
          <w:rFonts w:hint="default" w:ascii="Times New Roman" w:hAnsi="Times New Roman" w:eastAsia="仿宋_GB2312" w:cs="Times New Roman"/>
          <w:bCs/>
          <w:sz w:val="32"/>
          <w:szCs w:val="32"/>
        </w:rPr>
        <w:fldChar w:fldCharType="end"/>
      </w:r>
      <w:r>
        <w:rPr>
          <w:rFonts w:hint="default" w:ascii="Times New Roman" w:hAnsi="Times New Roman" w:eastAsia="仿宋_GB2312" w:cs="Times New Roman"/>
          <w:bCs/>
          <w:sz w:val="32"/>
          <w:szCs w:val="32"/>
        </w:rPr>
        <w:t xml:space="preserve"> </w:t>
      </w:r>
      <w:r>
        <w:rPr>
          <w:rFonts w:hint="default" w:ascii="Times New Roman" w:hAnsi="Times New Roman" w:eastAsia="仿宋_GB2312" w:cs="Times New Roman"/>
          <w:sz w:val="32"/>
          <w:szCs w:val="32"/>
        </w:rPr>
        <w:t>工业污水</w:t>
      </w:r>
      <w:r>
        <w:rPr>
          <w:rFonts w:hint="default" w:ascii="Times New Roman" w:hAnsi="Times New Roman" w:eastAsia="仿宋_GB2312" w:cs="Times New Roman"/>
          <w:sz w:val="32"/>
          <w:szCs w:val="32"/>
          <w:lang w:val="zh-CN"/>
        </w:rPr>
        <w:t>再生水利用</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“十三五”期间，巴中市工业园区建成面积25.62平方公里，建成标准化厂房23.5万平方米、园区污水处理厂6个。</w:t>
      </w:r>
    </w:p>
    <w:p>
      <w:pPr>
        <w:pStyle w:val="2"/>
        <w:ind w:firstLine="240"/>
        <w:jc w:val="center"/>
        <w:rPr>
          <w:rFonts w:hint="default" w:ascii="Times New Roman" w:hAnsi="Times New Roman" w:eastAsia="黑体" w:cs="Times New Roman"/>
          <w:sz w:val="24"/>
          <w:szCs w:val="24"/>
          <w:lang w:val="en-US" w:bidi="ar-SA"/>
        </w:rPr>
      </w:pPr>
      <w:r>
        <w:rPr>
          <w:rFonts w:hint="default" w:ascii="Times New Roman" w:hAnsi="Times New Roman" w:eastAsia="黑体" w:cs="Times New Roman"/>
          <w:sz w:val="24"/>
          <w:szCs w:val="24"/>
          <w:lang w:val="en-US" w:bidi="ar-SA"/>
        </w:rPr>
        <w:t>表5.15  2021-2025巴中市工业园区基础设施建设规划项目表</w:t>
      </w:r>
    </w:p>
    <w:tbl>
      <w:tblPr>
        <w:tblStyle w:val="18"/>
        <w:tblW w:w="8997" w:type="dxa"/>
        <w:tblInd w:w="0" w:type="dxa"/>
        <w:tblLayout w:type="fixed"/>
        <w:tblCellMar>
          <w:top w:w="0" w:type="dxa"/>
          <w:left w:w="108" w:type="dxa"/>
          <w:bottom w:w="0" w:type="dxa"/>
          <w:right w:w="108" w:type="dxa"/>
        </w:tblCellMar>
      </w:tblPr>
      <w:tblGrid>
        <w:gridCol w:w="632"/>
        <w:gridCol w:w="760"/>
        <w:gridCol w:w="1709"/>
        <w:gridCol w:w="5896"/>
      </w:tblGrid>
      <w:tr>
        <w:tblPrEx>
          <w:tblCellMar>
            <w:top w:w="0" w:type="dxa"/>
            <w:left w:w="108" w:type="dxa"/>
            <w:bottom w:w="0" w:type="dxa"/>
            <w:right w:w="108" w:type="dxa"/>
          </w:tblCellMar>
        </w:tblPrEx>
        <w:trPr>
          <w:trHeight w:val="727"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序号</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所在</w:t>
            </w:r>
          </w:p>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县（区）</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项目名称</w:t>
            </w:r>
          </w:p>
        </w:tc>
        <w:tc>
          <w:tcPr>
            <w:tcW w:w="5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项目建设内容</w:t>
            </w:r>
          </w:p>
        </w:tc>
      </w:tr>
      <w:tr>
        <w:tblPrEx>
          <w:tblCellMar>
            <w:top w:w="0" w:type="dxa"/>
            <w:left w:w="108" w:type="dxa"/>
            <w:bottom w:w="0" w:type="dxa"/>
            <w:right w:w="108" w:type="dxa"/>
          </w:tblCellMar>
        </w:tblPrEx>
        <w:trPr>
          <w:trHeight w:val="929"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巴州区</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巴州区循环经济企业孵化园</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项目用地 506 亩，新建厂房 303072 平方米,办公生活用房 42343平方米园区附属设施。并新建配套道路，完善园区供水、雨污水、电力、燃气管网等设施。</w:t>
            </w:r>
          </w:p>
        </w:tc>
      </w:tr>
      <w:tr>
        <w:tblPrEx>
          <w:tblCellMar>
            <w:top w:w="0" w:type="dxa"/>
            <w:left w:w="108" w:type="dxa"/>
            <w:bottom w:w="0" w:type="dxa"/>
            <w:right w:w="108" w:type="dxa"/>
          </w:tblCellMar>
        </w:tblPrEx>
        <w:trPr>
          <w:trHeight w:val="929"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2</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巴州区</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巴州工业园智能制造基地建设项目</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占地约 150 亩，项目建设 10 万平方米标准化厂房，配套 2.5公里园区道路、职工宿舍、食堂等设施。并新建配套道路，完善园区供水、雨污水、电力、燃气管网等设施。</w:t>
            </w:r>
          </w:p>
        </w:tc>
      </w:tr>
      <w:tr>
        <w:tblPrEx>
          <w:tblCellMar>
            <w:top w:w="0" w:type="dxa"/>
            <w:left w:w="108" w:type="dxa"/>
            <w:bottom w:w="0" w:type="dxa"/>
            <w:right w:w="108" w:type="dxa"/>
          </w:tblCellMar>
        </w:tblPrEx>
        <w:trPr>
          <w:trHeight w:val="929"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3</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经开区</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巴中经开区标准化厂房建设</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规划用地面积 151630 平方米，总建筑面积约 136467 平方米，其中标准化厂房约 83230 平方米，配套用房 53237 平方米，包括生产车间、仓储用房、办公用房、生活用房和辅助用房等。</w:t>
            </w:r>
          </w:p>
        </w:tc>
      </w:tr>
      <w:tr>
        <w:tblPrEx>
          <w:tblCellMar>
            <w:top w:w="0" w:type="dxa"/>
            <w:left w:w="108" w:type="dxa"/>
            <w:bottom w:w="0" w:type="dxa"/>
            <w:right w:w="108" w:type="dxa"/>
          </w:tblCellMar>
        </w:tblPrEx>
        <w:trPr>
          <w:trHeight w:val="1576"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4</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南江县</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东榆工业园区基础设施建设项目</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新建产业道路 8 公里，标准化厂房 30000 平方米，停车场 15000平方米，自来水管网 15 公里，配电设施 20 处，通讯网络 20公里，排洪渠 1 公里，雨污综合管网 20 公里，污水处理设施1 处，垃圾中转站 1 个，垃圾收集点 5 处，公厕 4 座，樵河取水泵站 1 座，高位水池 1 处，废旧电池处理 1 处。</w:t>
            </w:r>
          </w:p>
        </w:tc>
      </w:tr>
      <w:tr>
        <w:tblPrEx>
          <w:tblCellMar>
            <w:top w:w="0" w:type="dxa"/>
            <w:left w:w="108" w:type="dxa"/>
            <w:bottom w:w="0" w:type="dxa"/>
            <w:right w:w="108" w:type="dxa"/>
          </w:tblCellMar>
        </w:tblPrEx>
        <w:trPr>
          <w:trHeight w:val="727"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5</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恩阳区</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巴中临港产业园基础设施建设</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建设标准化厂房、物流中转站、创业孵化园、综合服务中心、污水处理厂、道路、管网、交安、绿化、亮化等。</w:t>
            </w:r>
          </w:p>
        </w:tc>
      </w:tr>
      <w:tr>
        <w:tblPrEx>
          <w:tblCellMar>
            <w:top w:w="0" w:type="dxa"/>
            <w:left w:w="108" w:type="dxa"/>
            <w:bottom w:w="0" w:type="dxa"/>
            <w:right w:w="108" w:type="dxa"/>
          </w:tblCellMar>
        </w:tblPrEx>
        <w:trPr>
          <w:trHeight w:val="1423"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6</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通江县</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eastAsia="zh-CN" w:bidi="ar"/>
              </w:rPr>
            </w:pPr>
            <w:r>
              <w:rPr>
                <w:rFonts w:hint="default" w:ascii="Times New Roman" w:hAnsi="Times New Roman" w:eastAsia="宋体" w:cs="Times New Roman"/>
                <w:kern w:val="0"/>
                <w:sz w:val="18"/>
                <w:szCs w:val="18"/>
                <w:lang w:bidi="ar"/>
              </w:rPr>
              <w:t>浙川东西部协作兰溪-通江农产品加工产业</w:t>
            </w:r>
          </w:p>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园项目</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位于春在工业园，用地总面积约 160 亩，本期用地约 95.54 亩。项目规划建设总建筑面积约 7.4 万平方米。其中标准化厂房约7.0 万平方米，职工宿舍约 0.4 万平方米。并新建配套道路，完善园区供水、雨污水、电力、燃气管网等设施。</w:t>
            </w:r>
          </w:p>
        </w:tc>
      </w:tr>
      <w:tr>
        <w:tblPrEx>
          <w:tblCellMar>
            <w:top w:w="0" w:type="dxa"/>
            <w:left w:w="108" w:type="dxa"/>
            <w:bottom w:w="0" w:type="dxa"/>
            <w:right w:w="108" w:type="dxa"/>
          </w:tblCellMar>
        </w:tblPrEx>
        <w:trPr>
          <w:trHeight w:val="929"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7</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平昌县</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平昌县食品工业集中发展区基础设施建设</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平整园区场地 1000 亩，完成道路、管网、水电气、通信及污水设施等建设。</w:t>
            </w:r>
          </w:p>
        </w:tc>
      </w:tr>
      <w:tr>
        <w:tblPrEx>
          <w:tblCellMar>
            <w:top w:w="0" w:type="dxa"/>
            <w:left w:w="108" w:type="dxa"/>
            <w:bottom w:w="0" w:type="dxa"/>
            <w:right w:w="108" w:type="dxa"/>
          </w:tblCellMar>
        </w:tblPrEx>
        <w:trPr>
          <w:trHeight w:val="717"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8</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平昌县</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eastAsia="zh-CN" w:bidi="ar"/>
              </w:rPr>
            </w:pPr>
            <w:r>
              <w:rPr>
                <w:rFonts w:hint="default" w:ascii="Times New Roman" w:hAnsi="Times New Roman" w:eastAsia="宋体" w:cs="Times New Roman"/>
                <w:kern w:val="0"/>
                <w:sz w:val="18"/>
                <w:szCs w:val="18"/>
                <w:lang w:bidi="ar"/>
              </w:rPr>
              <w:t>华油中蓝物流</w:t>
            </w:r>
          </w:p>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园建设</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占地 100 亩，建设仓储、物流、办公楼等 40000 平方米，建设 LNG 物流园。配套建设道路，污水处理，电力、综合管网等基础设施项目。</w:t>
            </w:r>
          </w:p>
        </w:tc>
      </w:tr>
      <w:tr>
        <w:tblPrEx>
          <w:tblCellMar>
            <w:top w:w="0" w:type="dxa"/>
            <w:left w:w="108" w:type="dxa"/>
            <w:bottom w:w="0" w:type="dxa"/>
            <w:right w:w="108" w:type="dxa"/>
          </w:tblCellMar>
        </w:tblPrEx>
        <w:trPr>
          <w:trHeight w:val="623"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9</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平昌县</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大众创业园二期</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占地 60 亩，新建标准化厂房 6 万平方米，配套建设管网、道路、绿化等设施。</w:t>
            </w:r>
          </w:p>
        </w:tc>
      </w:tr>
      <w:tr>
        <w:tblPrEx>
          <w:tblCellMar>
            <w:top w:w="0" w:type="dxa"/>
            <w:left w:w="108" w:type="dxa"/>
            <w:bottom w:w="0" w:type="dxa"/>
            <w:right w:w="108" w:type="dxa"/>
          </w:tblCellMar>
        </w:tblPrEx>
        <w:trPr>
          <w:trHeight w:val="623"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10</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平昌县</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平昌县麦金地中央厨房食品产业园</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占地 240 亩，建设标准化厂房 11.8 万平方米，办公及综合用房 2.2 万平方米，配套建设道路、管网等配套设施。</w:t>
            </w:r>
          </w:p>
        </w:tc>
      </w:tr>
      <w:tr>
        <w:tblPrEx>
          <w:tblCellMar>
            <w:top w:w="0" w:type="dxa"/>
            <w:left w:w="108" w:type="dxa"/>
            <w:bottom w:w="0" w:type="dxa"/>
            <w:right w:w="108" w:type="dxa"/>
          </w:tblCellMar>
        </w:tblPrEx>
        <w:trPr>
          <w:trHeight w:val="1304"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11</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南江县</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南深科技园建设项目</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选址于东榆工业园区跃进片区，占地约 400 亩。该项目以投资建设物流中心组团、商业复合组团、科研生产组团、生态居住组团为重点，主要建设内容包括：科研实验中心、轻纺制造基地、展示交流平台、风情街区、商住综合体、配套酒店、工业展示平台等。</w:t>
            </w:r>
          </w:p>
        </w:tc>
      </w:tr>
      <w:tr>
        <w:tblPrEx>
          <w:tblCellMar>
            <w:top w:w="0" w:type="dxa"/>
            <w:left w:w="108" w:type="dxa"/>
            <w:bottom w:w="0" w:type="dxa"/>
            <w:right w:w="108" w:type="dxa"/>
          </w:tblCellMar>
        </w:tblPrEx>
        <w:trPr>
          <w:trHeight w:val="929"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12</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南江县</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南深科技园基础设施建设项目</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土地整理 300 亩，新建道路 2 公里，职工用房 80000 平方米，商业中心 20000 平方米，停车位 700 个及相关配套附属工程。配套建设道路，污水处理，电力、综合管网等基础设施项目。</w:t>
            </w:r>
          </w:p>
        </w:tc>
      </w:tr>
      <w:tr>
        <w:tblPrEx>
          <w:tblCellMar>
            <w:top w:w="0" w:type="dxa"/>
            <w:left w:w="108" w:type="dxa"/>
            <w:bottom w:w="0" w:type="dxa"/>
            <w:right w:w="108" w:type="dxa"/>
          </w:tblCellMar>
        </w:tblPrEx>
        <w:trPr>
          <w:trHeight w:val="929"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13</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平昌县</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平昌县食品工业集中发展区基础设施及标准化厂房建设</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平整园区场地 3000 亩，完成道路、管网、水电气及污水设施等建设，建设标准化厂房 10 万平方米。</w:t>
            </w:r>
          </w:p>
        </w:tc>
      </w:tr>
      <w:tr>
        <w:tblPrEx>
          <w:tblCellMar>
            <w:top w:w="0" w:type="dxa"/>
            <w:left w:w="108" w:type="dxa"/>
            <w:bottom w:w="0" w:type="dxa"/>
            <w:right w:w="108" w:type="dxa"/>
          </w:tblCellMar>
        </w:tblPrEx>
        <w:trPr>
          <w:trHeight w:val="717"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14</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平昌县</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双江丝厂片区小微企业孵化园</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改造原双江丝厂片区基础设施，新建标准化厂房、办公生活用房等 50000 平方米。配套建设道路，污水处理，电力、综合管网等基础设施项目。</w:t>
            </w:r>
          </w:p>
        </w:tc>
      </w:tr>
      <w:tr>
        <w:tblPrEx>
          <w:tblCellMar>
            <w:top w:w="0" w:type="dxa"/>
            <w:left w:w="108" w:type="dxa"/>
            <w:bottom w:w="0" w:type="dxa"/>
            <w:right w:w="108" w:type="dxa"/>
          </w:tblCellMar>
        </w:tblPrEx>
        <w:trPr>
          <w:trHeight w:val="123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15</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通江县</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深通现代轻纺产业园</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占地 255 亩，其中工业用地 200 亩，商业配套用地 55 亩，建设轻纺及成衣科研试验中心、轻纺制造基地、企业展示交易平台、轻纺风情街区、配套公寓及酒店。配套建设道路，污水处理，电力、综合管网等基础设施项目。</w:t>
            </w:r>
          </w:p>
        </w:tc>
      </w:tr>
      <w:tr>
        <w:tblPrEx>
          <w:tblCellMar>
            <w:top w:w="0" w:type="dxa"/>
            <w:left w:w="108" w:type="dxa"/>
            <w:bottom w:w="0" w:type="dxa"/>
            <w:right w:w="108" w:type="dxa"/>
          </w:tblCellMar>
        </w:tblPrEx>
        <w:trPr>
          <w:trHeight w:val="123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16</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巴州区</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新能源新材料产业园标准化厂房及配套设备设施建设项目</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新建标准化厂房 10 万平方米、工业大道 2700 米，配套建设管网、绿化、亮化等工程。</w:t>
            </w:r>
          </w:p>
        </w:tc>
      </w:tr>
      <w:tr>
        <w:tblPrEx>
          <w:tblCellMar>
            <w:top w:w="0" w:type="dxa"/>
            <w:left w:w="108" w:type="dxa"/>
            <w:bottom w:w="0" w:type="dxa"/>
            <w:right w:w="108" w:type="dxa"/>
          </w:tblCellMar>
        </w:tblPrEx>
        <w:trPr>
          <w:trHeight w:val="123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17</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南江县</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南江县东榆工业园区东西部协作中医药产业园建设项目</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项目占地约 170 亩，新建 GMP 标准化厂房 100000 平方米、研发质控中心 10000 平方米、现代化仓储中心 20000 平方米、综合服务中心 5000 平方米,园区道路 1.2 公里及相关雨污、电力、给水、燃气等综合管网配套基础设施。</w:t>
            </w:r>
          </w:p>
        </w:tc>
      </w:tr>
      <w:tr>
        <w:tblPrEx>
          <w:tblCellMar>
            <w:top w:w="0" w:type="dxa"/>
            <w:left w:w="108" w:type="dxa"/>
            <w:bottom w:w="0" w:type="dxa"/>
            <w:right w:w="108" w:type="dxa"/>
          </w:tblCellMar>
        </w:tblPrEx>
        <w:trPr>
          <w:trHeight w:val="123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18</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南江县</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南江县东榆工业园区食品饮料产业园建设项目</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占地面积约 278 亩，新建总建筑面积 185000 平方米，其中标准化厂房 160000 平方米，现代冷链物流配送中心 20000 平方米，辅助用房 5000 平方米，配套建设道路雨污、电力、燃气、给水等综合管网基础设施项目。</w:t>
            </w:r>
          </w:p>
        </w:tc>
      </w:tr>
      <w:tr>
        <w:tblPrEx>
          <w:tblCellMar>
            <w:top w:w="0" w:type="dxa"/>
            <w:left w:w="108" w:type="dxa"/>
            <w:bottom w:w="0" w:type="dxa"/>
            <w:right w:w="108" w:type="dxa"/>
          </w:tblCellMar>
        </w:tblPrEx>
        <w:trPr>
          <w:trHeight w:val="929"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19</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南江县</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南江县东榆工业园区文旅创意产业建设项目</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占地面积约 300 亩，新建总建筑面积 135000 平方米，新建标准化厂房 120000 平方米，文创产品研发中心 10000 平方米，辅助用房 5000 平方米，配套建设道路，污水处理，电力、综合管网等基础设施项目。</w:t>
            </w:r>
          </w:p>
        </w:tc>
      </w:tr>
      <w:tr>
        <w:tblPrEx>
          <w:tblCellMar>
            <w:top w:w="0" w:type="dxa"/>
            <w:left w:w="108" w:type="dxa"/>
            <w:bottom w:w="0" w:type="dxa"/>
            <w:right w:w="108" w:type="dxa"/>
          </w:tblCellMar>
        </w:tblPrEx>
        <w:trPr>
          <w:trHeight w:val="939"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20</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南江县</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南江县东榆工业园区省级创业孵化基地建设项目</w:t>
            </w:r>
          </w:p>
        </w:tc>
        <w:tc>
          <w:tcPr>
            <w:tcW w:w="5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ind w:firstLine="0" w:firstLineChars="0"/>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占地面积约 103 亩，新建总建筑面积 100000 平方米，其中新建孵化厂房 90000 平方米，孵化中心 10000 万平方米，配套建设道路，污水处理，电力、综合管网等基础设施项目。</w:t>
            </w:r>
          </w:p>
        </w:tc>
      </w:tr>
    </w:tbl>
    <w:p>
      <w:pPr>
        <w:pStyle w:val="8"/>
        <w:spacing w:before="312" w:beforeLines="100" w:after="156" w:afterLines="50" w:line="240" w:lineRule="auto"/>
        <w:ind w:left="0" w:leftChars="0" w:firstLine="0" w:firstLineChars="0"/>
        <w:jc w:val="left"/>
        <w:rPr>
          <w:rFonts w:hint="default" w:ascii="Times New Roman" w:hAnsi="Times New Roman" w:eastAsia="黑体" w:cs="Times New Roman"/>
          <w:sz w:val="22"/>
          <w:szCs w:val="24"/>
        </w:rPr>
        <w:sectPr>
          <w:pgSz w:w="11906" w:h="16838"/>
          <w:pgMar w:top="1587" w:right="1587" w:bottom="1587" w:left="1588" w:header="851" w:footer="992" w:gutter="0"/>
          <w:cols w:space="425" w:num="1"/>
          <w:docGrid w:type="lines" w:linePitch="312" w:charSpace="0"/>
        </w:sectPr>
      </w:pPr>
      <w:bookmarkStart w:id="200" w:name="_Toc17414"/>
      <w:bookmarkStart w:id="201" w:name="_Toc25706"/>
      <w:bookmarkStart w:id="202" w:name="_Toc14525"/>
      <w:r>
        <w:rPr>
          <w:rFonts w:hint="default" w:ascii="Times New Roman" w:hAnsi="Times New Roman" w:eastAsia="黑体" w:cs="Times New Roman"/>
          <w:sz w:val="22"/>
          <w:szCs w:val="24"/>
        </w:rPr>
        <w:t>* 数据来源：《巴中市“十四五”工业发展规划</w:t>
      </w:r>
      <w:r>
        <w:rPr>
          <w:rFonts w:hint="default" w:ascii="Times New Roman" w:hAnsi="Times New Roman" w:eastAsia="黑体" w:cs="Times New Roman"/>
          <w:sz w:val="22"/>
          <w:szCs w:val="24"/>
          <w:lang w:eastAsia="zh-CN"/>
        </w:rPr>
        <w:t>》</w:t>
      </w:r>
      <w:bookmarkEnd w:id="200"/>
      <w:bookmarkEnd w:id="201"/>
      <w:bookmarkEnd w:id="202"/>
    </w:p>
    <w:p>
      <w:pPr>
        <w:pStyle w:val="24"/>
        <w:spacing w:line="360" w:lineRule="auto"/>
        <w:ind w:firstLine="0"/>
        <w:rPr>
          <w:rFonts w:hint="default" w:ascii="Times New Roman" w:hAnsi="Times New Roman" w:cs="Times New Roman"/>
          <w:bCs/>
        </w:rPr>
      </w:pPr>
      <w:r>
        <w:rPr>
          <w:rFonts w:hint="default" w:ascii="Times New Roman" w:hAnsi="Times New Roman" w:cs="Times New Roman"/>
        </w:rPr>
        <w:fldChar w:fldCharType="begin"/>
      </w:r>
      <w:r>
        <w:rPr>
          <w:rFonts w:hint="default" w:ascii="Times New Roman" w:hAnsi="Times New Roman" w:cs="Times New Roman"/>
        </w:rPr>
        <w:instrText xml:space="preserve"> = 2 \* GB3 \* MERGEFORMAT </w:instrText>
      </w:r>
      <w:r>
        <w:rPr>
          <w:rFonts w:hint="default" w:ascii="Times New Roman" w:hAnsi="Times New Roman" w:cs="Times New Roman"/>
        </w:rPr>
        <w:fldChar w:fldCharType="separate"/>
      </w:r>
      <w:r>
        <w:rPr>
          <w:rFonts w:hint="default" w:ascii="Times New Roman" w:hAnsi="Times New Roman" w:cs="Times New Roman"/>
        </w:rPr>
        <w:t>②</w:t>
      </w:r>
      <w:r>
        <w:rPr>
          <w:rFonts w:hint="default" w:ascii="Times New Roman" w:hAnsi="Times New Roman" w:cs="Times New Roman"/>
        </w:rPr>
        <w:fldChar w:fldCharType="end"/>
      </w:r>
      <w:r>
        <w:rPr>
          <w:rFonts w:hint="default" w:ascii="Times New Roman" w:hAnsi="Times New Roman" w:cs="Times New Roman"/>
        </w:rPr>
        <w:t xml:space="preserve"> 生活污水</w:t>
      </w:r>
      <w:r>
        <w:rPr>
          <w:rFonts w:hint="default" w:ascii="Times New Roman" w:hAnsi="Times New Roman" w:cs="Times New Roman"/>
          <w:lang w:val="zh-CN"/>
        </w:rPr>
        <w:t>再生水利用</w:t>
      </w:r>
      <w:r>
        <w:rPr>
          <w:rFonts w:hint="default" w:ascii="Times New Roman" w:hAnsi="Times New Roman" w:cs="Times New Roman"/>
        </w:rPr>
        <w:t>规划方案</w:t>
      </w:r>
    </w:p>
    <w:p>
      <w:pPr>
        <w:pStyle w:val="2"/>
        <w:ind w:firstLine="3120" w:firstLineChars="1300"/>
        <w:rPr>
          <w:rFonts w:hint="default" w:ascii="Times New Roman" w:hAnsi="Times New Roman" w:cs="Times New Roman"/>
          <w:b/>
          <w:bCs/>
        </w:rPr>
      </w:pPr>
      <w:r>
        <w:rPr>
          <w:rFonts w:hint="default" w:ascii="Times New Roman" w:hAnsi="Times New Roman" w:eastAsia="黑体" w:cs="Times New Roman"/>
          <w:sz w:val="24"/>
          <w:szCs w:val="24"/>
          <w:lang w:val="en-US" w:bidi="ar-SA"/>
        </w:rPr>
        <w:t>表5.16  巴中市城镇生活污水处理设施建设实施项目计划表</w:t>
      </w:r>
    </w:p>
    <w:tbl>
      <w:tblPr>
        <w:tblStyle w:val="18"/>
        <w:tblW w:w="13873" w:type="dxa"/>
        <w:tblInd w:w="0" w:type="dxa"/>
        <w:tblLayout w:type="fixed"/>
        <w:tblCellMar>
          <w:top w:w="0" w:type="dxa"/>
          <w:left w:w="108" w:type="dxa"/>
          <w:bottom w:w="0" w:type="dxa"/>
          <w:right w:w="108" w:type="dxa"/>
        </w:tblCellMar>
      </w:tblPr>
      <w:tblGrid>
        <w:gridCol w:w="678"/>
        <w:gridCol w:w="1001"/>
        <w:gridCol w:w="1382"/>
        <w:gridCol w:w="1655"/>
        <w:gridCol w:w="5053"/>
        <w:gridCol w:w="1398"/>
        <w:gridCol w:w="1041"/>
        <w:gridCol w:w="1665"/>
      </w:tblGrid>
      <w:tr>
        <w:tblPrEx>
          <w:tblCellMar>
            <w:top w:w="0" w:type="dxa"/>
            <w:left w:w="108" w:type="dxa"/>
            <w:bottom w:w="0" w:type="dxa"/>
            <w:right w:w="108" w:type="dxa"/>
          </w:tblCellMar>
        </w:tblPrEx>
        <w:trPr>
          <w:trHeight w:val="454" w:hRule="atLeast"/>
          <w:tblHeader/>
        </w:trPr>
        <w:tc>
          <w:tcPr>
            <w:tcW w:w="67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黑体" w:cs="Times New Roman"/>
                <w:b/>
                <w:bCs/>
                <w:kern w:val="0"/>
                <w:sz w:val="21"/>
                <w:szCs w:val="21"/>
                <w:lang w:bidi="ar"/>
              </w:rPr>
            </w:pPr>
            <w:r>
              <w:rPr>
                <w:rFonts w:hint="default" w:ascii="Times New Roman" w:hAnsi="Times New Roman" w:eastAsia="黑体" w:cs="Times New Roman"/>
                <w:b/>
                <w:bCs/>
                <w:kern w:val="0"/>
                <w:sz w:val="21"/>
                <w:szCs w:val="21"/>
                <w:lang w:bidi="ar"/>
              </w:rPr>
              <w:t>序号</w:t>
            </w:r>
          </w:p>
        </w:tc>
        <w:tc>
          <w:tcPr>
            <w:tcW w:w="1001"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黑体" w:cs="Times New Roman"/>
                <w:b/>
                <w:bCs/>
                <w:sz w:val="21"/>
                <w:szCs w:val="21"/>
              </w:rPr>
            </w:pPr>
            <w:r>
              <w:rPr>
                <w:rFonts w:hint="default" w:ascii="Times New Roman" w:hAnsi="Times New Roman" w:eastAsia="黑体" w:cs="Times New Roman"/>
                <w:b/>
                <w:bCs/>
                <w:kern w:val="0"/>
                <w:sz w:val="21"/>
                <w:szCs w:val="21"/>
                <w:lang w:bidi="ar"/>
              </w:rPr>
              <w:t>区县</w:t>
            </w:r>
          </w:p>
        </w:tc>
        <w:tc>
          <w:tcPr>
            <w:tcW w:w="1382"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黑体" w:cs="Times New Roman"/>
                <w:b/>
                <w:bCs/>
                <w:sz w:val="21"/>
                <w:szCs w:val="21"/>
              </w:rPr>
            </w:pPr>
            <w:r>
              <w:rPr>
                <w:rFonts w:hint="default" w:ascii="Times New Roman" w:hAnsi="Times New Roman" w:eastAsia="黑体" w:cs="Times New Roman"/>
                <w:b/>
                <w:bCs/>
                <w:kern w:val="0"/>
                <w:sz w:val="21"/>
                <w:szCs w:val="21"/>
                <w:lang w:bidi="ar"/>
              </w:rPr>
              <w:t>项目类型</w:t>
            </w:r>
          </w:p>
        </w:tc>
        <w:tc>
          <w:tcPr>
            <w:tcW w:w="1655"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黑体" w:cs="Times New Roman"/>
                <w:b/>
                <w:bCs/>
                <w:sz w:val="21"/>
                <w:szCs w:val="21"/>
              </w:rPr>
            </w:pPr>
            <w:r>
              <w:rPr>
                <w:rFonts w:hint="default" w:ascii="Times New Roman" w:hAnsi="Times New Roman" w:eastAsia="黑体" w:cs="Times New Roman"/>
                <w:b/>
                <w:bCs/>
                <w:kern w:val="0"/>
                <w:sz w:val="21"/>
                <w:szCs w:val="21"/>
                <w:lang w:bidi="ar"/>
              </w:rPr>
              <w:t>项目名称</w:t>
            </w:r>
          </w:p>
        </w:tc>
        <w:tc>
          <w:tcPr>
            <w:tcW w:w="5053" w:type="dxa"/>
            <w:tcBorders>
              <w:top w:val="single" w:color="000000" w:sz="8" w:space="0"/>
              <w:left w:val="nil"/>
              <w:bottom w:val="single" w:color="000000" w:sz="8" w:space="0"/>
              <w:right w:val="single" w:color="000000" w:sz="8" w:space="0"/>
            </w:tcBorders>
            <w:shd w:val="clear" w:color="auto" w:fill="auto"/>
            <w:vAlign w:val="center"/>
          </w:tcPr>
          <w:p>
            <w:pPr>
              <w:pStyle w:val="42"/>
              <w:widowControl w:val="0"/>
              <w:spacing w:line="280" w:lineRule="exact"/>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项目概况</w:t>
            </w:r>
          </w:p>
        </w:tc>
        <w:tc>
          <w:tcPr>
            <w:tcW w:w="1398"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黑体" w:cs="Times New Roman"/>
                <w:b/>
                <w:bCs/>
                <w:sz w:val="21"/>
                <w:szCs w:val="21"/>
              </w:rPr>
            </w:pPr>
            <w:r>
              <w:rPr>
                <w:rFonts w:hint="default" w:ascii="Times New Roman" w:hAnsi="Times New Roman" w:eastAsia="黑体" w:cs="Times New Roman"/>
                <w:b/>
                <w:bCs/>
                <w:kern w:val="0"/>
                <w:sz w:val="21"/>
                <w:szCs w:val="21"/>
                <w:lang w:bidi="ar"/>
              </w:rPr>
              <w:t>建设地点</w:t>
            </w:r>
          </w:p>
        </w:tc>
        <w:tc>
          <w:tcPr>
            <w:tcW w:w="1041"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黑体" w:cs="Times New Roman"/>
                <w:b/>
                <w:bCs/>
                <w:sz w:val="21"/>
                <w:szCs w:val="21"/>
              </w:rPr>
            </w:pPr>
            <w:r>
              <w:rPr>
                <w:rFonts w:hint="default" w:ascii="Times New Roman" w:hAnsi="Times New Roman" w:eastAsia="黑体" w:cs="Times New Roman"/>
                <w:b/>
                <w:bCs/>
                <w:kern w:val="0"/>
                <w:sz w:val="21"/>
                <w:szCs w:val="21"/>
                <w:lang w:bidi="ar"/>
              </w:rPr>
              <w:t>时限</w:t>
            </w:r>
          </w:p>
        </w:tc>
        <w:tc>
          <w:tcPr>
            <w:tcW w:w="1665"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黑体" w:cs="Times New Roman"/>
                <w:b/>
                <w:bCs/>
                <w:sz w:val="21"/>
                <w:szCs w:val="21"/>
              </w:rPr>
            </w:pPr>
            <w:r>
              <w:rPr>
                <w:rFonts w:hint="default" w:ascii="Times New Roman" w:hAnsi="Times New Roman" w:eastAsia="黑体" w:cs="Times New Roman"/>
                <w:b/>
                <w:bCs/>
                <w:kern w:val="0"/>
                <w:sz w:val="21"/>
                <w:szCs w:val="21"/>
                <w:lang w:bidi="ar"/>
              </w:rPr>
              <w:t>责任单位</w:t>
            </w:r>
          </w:p>
        </w:tc>
      </w:tr>
      <w:tr>
        <w:tblPrEx>
          <w:tblCellMar>
            <w:top w:w="0" w:type="dxa"/>
            <w:left w:w="108" w:type="dxa"/>
            <w:bottom w:w="0" w:type="dxa"/>
            <w:right w:w="108" w:type="dxa"/>
          </w:tblCellMar>
        </w:tblPrEx>
        <w:trPr>
          <w:trHeight w:val="90"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各县区</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入河排污口整治</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入河排污口规范化整治项目</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对全市规模以上、规模以下的入河排污口进行排查，同步开展入河排污口水质监测，建立入河排污口台账并定期更新。编制入河排污口专项整治方案，开展入河排污口规范化整治，设立标识标牌，梳理排污口环境影响评价和排污口设置论证情况，组织补办排污口设置许可手续。</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全市</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2021—2023</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各县（区）人民政府、市生态环境局、市水利局、市住房城乡建设局</w:t>
            </w:r>
          </w:p>
        </w:tc>
      </w:tr>
      <w:tr>
        <w:tblPrEx>
          <w:tblCellMar>
            <w:top w:w="0" w:type="dxa"/>
            <w:left w:w="108" w:type="dxa"/>
            <w:bottom w:w="0" w:type="dxa"/>
            <w:right w:w="108" w:type="dxa"/>
          </w:tblCellMar>
        </w:tblPrEx>
        <w:trPr>
          <w:trHeight w:val="488"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2</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各县区</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工业污染防治</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工业园区绿色改造项目</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对全市工业园区实行雨污分流改造及循环化、绿色化低碳改造，推动工业园区减污降碳协同治理。</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全市</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2021—2025</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相关县（区）人民政府、</w:t>
            </w:r>
            <w:r>
              <w:rPr>
                <w:rFonts w:hint="default" w:cs="Times New Roman"/>
                <w:kern w:val="0"/>
                <w:sz w:val="20"/>
                <w:szCs w:val="20"/>
                <w:lang w:bidi="ar"/>
              </w:rPr>
              <w:t>市经信局</w:t>
            </w:r>
          </w:p>
        </w:tc>
      </w:tr>
      <w:tr>
        <w:tblPrEx>
          <w:tblCellMar>
            <w:top w:w="0" w:type="dxa"/>
            <w:left w:w="108" w:type="dxa"/>
            <w:bottom w:w="0" w:type="dxa"/>
            <w:right w:w="108" w:type="dxa"/>
          </w:tblCellMar>
        </w:tblPrEx>
        <w:trPr>
          <w:trHeight w:val="90" w:hRule="atLeast"/>
        </w:trPr>
        <w:tc>
          <w:tcPr>
            <w:tcW w:w="678" w:type="dxa"/>
            <w:tcBorders>
              <w:top w:val="nil"/>
              <w:left w:val="single" w:color="000000" w:sz="8" w:space="0"/>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3</w:t>
            </w:r>
          </w:p>
        </w:tc>
        <w:tc>
          <w:tcPr>
            <w:tcW w:w="1001"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w:t>
            </w:r>
          </w:p>
        </w:tc>
        <w:tc>
          <w:tcPr>
            <w:tcW w:w="1382"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城镇污水收集管网建设</w:t>
            </w:r>
          </w:p>
        </w:tc>
        <w:tc>
          <w:tcPr>
            <w:tcW w:w="1655"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国控手傍岩断面水质稳定达标保障项目</w:t>
            </w:r>
          </w:p>
        </w:tc>
        <w:tc>
          <w:tcPr>
            <w:tcW w:w="5053" w:type="dxa"/>
            <w:tcBorders>
              <w:top w:val="nil"/>
              <w:left w:val="nil"/>
              <w:bottom w:val="single" w:color="auto" w:sz="4"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1.对巴中市城区15处共5km破损管网改造维修；2.建设江南片区污水管网58km；3.开展国控手傍岩断面至巴州区城区沿河两岸环境连片综合整治，包含：22km污水管网、8座污水提升泵等。</w:t>
            </w:r>
          </w:p>
        </w:tc>
        <w:tc>
          <w:tcPr>
            <w:tcW w:w="1398"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巴州区东城街道、西城街道、江北街道、回风街道、光辉镇、大</w:t>
            </w:r>
            <w:r>
              <w:rPr>
                <w:rStyle w:val="41"/>
                <w:rFonts w:hint="default" w:ascii="Times New Roman" w:hAnsi="Times New Roman" w:eastAsia="仿宋" w:cs="Times New Roman"/>
                <w:color w:val="auto"/>
                <w:sz w:val="20"/>
                <w:szCs w:val="20"/>
                <w:lang w:bidi="ar"/>
              </w:rPr>
              <w:t>茅坪镇</w:t>
            </w:r>
          </w:p>
        </w:tc>
        <w:tc>
          <w:tcPr>
            <w:tcW w:w="1041"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2021—2023</w:t>
            </w:r>
          </w:p>
        </w:tc>
        <w:tc>
          <w:tcPr>
            <w:tcW w:w="1665"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巴州区人民政府</w:t>
            </w:r>
          </w:p>
        </w:tc>
      </w:tr>
      <w:tr>
        <w:tblPrEx>
          <w:tblCellMar>
            <w:top w:w="0" w:type="dxa"/>
            <w:left w:w="108" w:type="dxa"/>
            <w:bottom w:w="0" w:type="dxa"/>
            <w:right w:w="108" w:type="dxa"/>
          </w:tblCellMar>
        </w:tblPrEx>
        <w:trPr>
          <w:trHeight w:val="1225" w:hRule="atLeast"/>
        </w:trPr>
        <w:tc>
          <w:tcPr>
            <w:tcW w:w="678"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4</w:t>
            </w:r>
          </w:p>
        </w:tc>
        <w:tc>
          <w:tcPr>
            <w:tcW w:w="1001"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w:t>
            </w:r>
          </w:p>
        </w:tc>
        <w:tc>
          <w:tcPr>
            <w:tcW w:w="1382"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城镇污水处理设施建设</w:t>
            </w:r>
          </w:p>
        </w:tc>
        <w:tc>
          <w:tcPr>
            <w:tcW w:w="1655"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巴中市污水处理厂迁建工程二期、巴州城区陇桥污水处理站新建项目</w:t>
            </w:r>
          </w:p>
        </w:tc>
        <w:tc>
          <w:tcPr>
            <w:tcW w:w="5053" w:type="dxa"/>
            <w:tcBorders>
              <w:top w:val="single" w:color="auto" w:sz="4" w:space="0"/>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1.新建第二污水处理厂1座，污水处理规模7.5万m</w:t>
            </w: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/d，新建污水管网0.6km；2.建设处理能力1200m</w:t>
            </w: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/d污水处理站一座。</w:t>
            </w:r>
          </w:p>
        </w:tc>
        <w:tc>
          <w:tcPr>
            <w:tcW w:w="1398"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巴州区光辉镇、回风街道</w:t>
            </w:r>
          </w:p>
        </w:tc>
        <w:tc>
          <w:tcPr>
            <w:tcW w:w="1041"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2021—2025</w:t>
            </w:r>
          </w:p>
        </w:tc>
        <w:tc>
          <w:tcPr>
            <w:tcW w:w="1665"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巴州区人民政府、市住房城乡建设局</w:t>
            </w:r>
          </w:p>
        </w:tc>
      </w:tr>
      <w:tr>
        <w:tblPrEx>
          <w:tblCellMar>
            <w:top w:w="0" w:type="dxa"/>
            <w:left w:w="108" w:type="dxa"/>
            <w:bottom w:w="0" w:type="dxa"/>
            <w:right w:w="108" w:type="dxa"/>
          </w:tblCellMar>
        </w:tblPrEx>
        <w:trPr>
          <w:trHeight w:val="165" w:hRule="atLeast"/>
        </w:trPr>
        <w:tc>
          <w:tcPr>
            <w:tcW w:w="678" w:type="dxa"/>
            <w:tcBorders>
              <w:top w:val="nil"/>
              <w:left w:val="single" w:color="000000" w:sz="8" w:space="0"/>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5</w:t>
            </w:r>
          </w:p>
        </w:tc>
        <w:tc>
          <w:tcPr>
            <w:tcW w:w="1001"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w:t>
            </w:r>
          </w:p>
        </w:tc>
        <w:tc>
          <w:tcPr>
            <w:tcW w:w="1382"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城镇排水管网新建与改造修复项目</w:t>
            </w:r>
          </w:p>
        </w:tc>
        <w:tc>
          <w:tcPr>
            <w:tcW w:w="1655"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巴中市巴州区城区污水管网新建及改造修复项目</w:t>
            </w:r>
          </w:p>
        </w:tc>
        <w:tc>
          <w:tcPr>
            <w:tcW w:w="5053" w:type="dxa"/>
            <w:tcBorders>
              <w:top w:val="nil"/>
              <w:left w:val="nil"/>
              <w:bottom w:val="single" w:color="auto" w:sz="4"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1.巴州区江北麻柳湾至江湾城新建污水管网3.2km，张家河段新建污水管网9.43km、雨水管网9.23km；</w:t>
            </w:r>
          </w:p>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2.巴州区江北片区改造污水管网2.8km、雨水管网1km，雨污合流管网7.5km；</w:t>
            </w:r>
          </w:p>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3.巴州区江南城区管网改造修复疏通，改造污水管网20km、雨水管网20km，巴州区白马井片区改造污水管网25km、雨水管网5km；</w:t>
            </w:r>
          </w:p>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4.巴州区后坝福音堂等4处新建污水管网5.9km、雨水管网3.6km，巴州城区陇桥片区新建污水管网10km；</w:t>
            </w:r>
          </w:p>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5.巴中经开区规划五路、规划十四路新建污水连接线3km，污水干管A线迁改新建污水管网1.5km；</w:t>
            </w:r>
          </w:p>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6.巴中经开区时新街道白塔社区改造污水管网2km，巴中经开区雨污水管网维护工程，维护污水管网100km、雨水管网100km。</w:t>
            </w:r>
          </w:p>
        </w:tc>
        <w:tc>
          <w:tcPr>
            <w:tcW w:w="1398"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巴州区城区</w:t>
            </w:r>
          </w:p>
        </w:tc>
        <w:tc>
          <w:tcPr>
            <w:tcW w:w="1041"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2021—2023</w:t>
            </w:r>
          </w:p>
        </w:tc>
        <w:tc>
          <w:tcPr>
            <w:tcW w:w="1665"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巴州区人民政府</w:t>
            </w:r>
          </w:p>
        </w:tc>
      </w:tr>
      <w:tr>
        <w:tblPrEx>
          <w:tblCellMar>
            <w:top w:w="0" w:type="dxa"/>
            <w:left w:w="108" w:type="dxa"/>
            <w:bottom w:w="0" w:type="dxa"/>
            <w:right w:w="108" w:type="dxa"/>
          </w:tblCellMar>
        </w:tblPrEx>
        <w:trPr>
          <w:trHeight w:val="1252" w:hRule="atLeast"/>
        </w:trPr>
        <w:tc>
          <w:tcPr>
            <w:tcW w:w="678"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6</w:t>
            </w:r>
          </w:p>
        </w:tc>
        <w:tc>
          <w:tcPr>
            <w:tcW w:w="1001"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w:t>
            </w:r>
          </w:p>
        </w:tc>
        <w:tc>
          <w:tcPr>
            <w:tcW w:w="1382"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城镇污水处理设施提标升级及配套管网建设</w:t>
            </w:r>
          </w:p>
        </w:tc>
        <w:tc>
          <w:tcPr>
            <w:tcW w:w="1655"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巴州区乡镇污水处理设施提标升级改造及配套管网建设项目</w:t>
            </w:r>
          </w:p>
        </w:tc>
        <w:tc>
          <w:tcPr>
            <w:tcW w:w="5053" w:type="dxa"/>
            <w:tcBorders>
              <w:top w:val="single" w:color="auto" w:sz="4" w:space="0"/>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水宁寺镇、清江镇、化成镇污水处理站进行提标升级改造，由一级B标提升至一级A标；化成镇、清江镇、平梁镇、曾口镇、光辉镇、天马山镇建设配套管网39.6km。</w:t>
            </w:r>
          </w:p>
        </w:tc>
        <w:tc>
          <w:tcPr>
            <w:tcW w:w="1398"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巴州区水宁寺镇、清江镇、化成镇</w:t>
            </w:r>
          </w:p>
        </w:tc>
        <w:tc>
          <w:tcPr>
            <w:tcW w:w="1041"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2021—2023</w:t>
            </w:r>
          </w:p>
        </w:tc>
        <w:tc>
          <w:tcPr>
            <w:tcW w:w="1665"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巴州区人民政府</w:t>
            </w:r>
          </w:p>
        </w:tc>
      </w:tr>
      <w:tr>
        <w:tblPrEx>
          <w:tblCellMar>
            <w:top w:w="0" w:type="dxa"/>
            <w:left w:w="108" w:type="dxa"/>
            <w:bottom w:w="0" w:type="dxa"/>
            <w:right w:w="108" w:type="dxa"/>
          </w:tblCellMar>
        </w:tblPrEx>
        <w:trPr>
          <w:trHeight w:val="277"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7</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农村污水收集与处理工程</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巴州区农村社区生活污水治理项目</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1.新建登高社区、中岭坪社区、芦山社区、红溪村聚集区（原店子社区）、柏茂社区、果敢社区、清溪村聚集区（原联谊社区）、金光社区、曙光社区、胜利社区、柳岗社区、灵山村聚居点（原灵云社区）12个居民聚集区生活污水处理设施；</w:t>
            </w:r>
          </w:p>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2.开展54个农村社区污水收集管网建设，共计建设主管网154.83km，次管网472.065km，检查井7680座，并配套建设化粪池等。</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巴州区涉及乡镇</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2021—2025</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巴州区人民政府</w:t>
            </w:r>
          </w:p>
        </w:tc>
      </w:tr>
      <w:tr>
        <w:tblPrEx>
          <w:tblCellMar>
            <w:top w:w="0" w:type="dxa"/>
            <w:left w:w="108" w:type="dxa"/>
            <w:bottom w:w="0" w:type="dxa"/>
            <w:right w:w="108" w:type="dxa"/>
          </w:tblCellMar>
        </w:tblPrEx>
        <w:trPr>
          <w:trHeight w:val="822"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8</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农村污水处理工程</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巴州区分散式农村生活污水治理项目</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新建分散式农村生活污水处理设施5747套。</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巴州区涉及乡镇</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2021—2025</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巴州区人民政府</w:t>
            </w:r>
          </w:p>
        </w:tc>
      </w:tr>
      <w:tr>
        <w:tblPrEx>
          <w:tblCellMar>
            <w:top w:w="0" w:type="dxa"/>
            <w:left w:w="108" w:type="dxa"/>
            <w:bottom w:w="0" w:type="dxa"/>
            <w:right w:w="108" w:type="dxa"/>
          </w:tblCellMar>
        </w:tblPrEx>
        <w:trPr>
          <w:trHeight w:val="832" w:hRule="atLeast"/>
        </w:trPr>
        <w:tc>
          <w:tcPr>
            <w:tcW w:w="678" w:type="dxa"/>
            <w:tcBorders>
              <w:top w:val="nil"/>
              <w:left w:val="single" w:color="000000" w:sz="8" w:space="0"/>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9</w:t>
            </w:r>
          </w:p>
        </w:tc>
        <w:tc>
          <w:tcPr>
            <w:tcW w:w="1001"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w:t>
            </w:r>
          </w:p>
        </w:tc>
        <w:tc>
          <w:tcPr>
            <w:tcW w:w="1382"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农村污水处理工程</w:t>
            </w:r>
          </w:p>
        </w:tc>
        <w:tc>
          <w:tcPr>
            <w:tcW w:w="1655"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巴州区农村散户生活污水治理项目</w:t>
            </w:r>
          </w:p>
        </w:tc>
        <w:tc>
          <w:tcPr>
            <w:tcW w:w="5053" w:type="dxa"/>
            <w:tcBorders>
              <w:top w:val="nil"/>
              <w:left w:val="nil"/>
              <w:bottom w:val="single" w:color="auto" w:sz="4"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新建人工湿地238处，建设散居农户三格式化粪池1.16万座。</w:t>
            </w:r>
          </w:p>
        </w:tc>
        <w:tc>
          <w:tcPr>
            <w:tcW w:w="1398"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巴州区涉及乡镇</w:t>
            </w:r>
          </w:p>
        </w:tc>
        <w:tc>
          <w:tcPr>
            <w:tcW w:w="1041"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2021—2025</w:t>
            </w:r>
          </w:p>
        </w:tc>
        <w:tc>
          <w:tcPr>
            <w:tcW w:w="1665"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巴州区人民政府</w:t>
            </w:r>
          </w:p>
        </w:tc>
      </w:tr>
      <w:tr>
        <w:tblPrEx>
          <w:tblCellMar>
            <w:top w:w="0" w:type="dxa"/>
            <w:left w:w="108" w:type="dxa"/>
            <w:bottom w:w="0" w:type="dxa"/>
            <w:right w:w="108" w:type="dxa"/>
          </w:tblCellMar>
        </w:tblPrEx>
        <w:trPr>
          <w:trHeight w:val="90" w:hRule="atLeast"/>
        </w:trPr>
        <w:tc>
          <w:tcPr>
            <w:tcW w:w="678"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10</w:t>
            </w:r>
          </w:p>
        </w:tc>
        <w:tc>
          <w:tcPr>
            <w:tcW w:w="1001"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巴中经开区</w:t>
            </w:r>
          </w:p>
        </w:tc>
        <w:tc>
          <w:tcPr>
            <w:tcW w:w="1382"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配套管网工程</w:t>
            </w:r>
          </w:p>
        </w:tc>
        <w:tc>
          <w:tcPr>
            <w:tcW w:w="1655"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巴中经开区污水处理厂尾水排放管网建设工程</w:t>
            </w:r>
          </w:p>
        </w:tc>
        <w:tc>
          <w:tcPr>
            <w:tcW w:w="5053" w:type="dxa"/>
            <w:tcBorders>
              <w:top w:val="single" w:color="auto" w:sz="4" w:space="0"/>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建设巴中经开区污水处理厂排污口至曾口（巴河）尾水管网14.2km，排放管为管径DN1000—DN1200，管材为钢管及MPVE双壁波纹管，以及管道工程、土石方工程、施工便道工程以及周边附属工程等相关配套工程。</w:t>
            </w:r>
          </w:p>
        </w:tc>
        <w:tc>
          <w:tcPr>
            <w:tcW w:w="1398"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巴中经开区兴文街道</w:t>
            </w:r>
          </w:p>
        </w:tc>
        <w:tc>
          <w:tcPr>
            <w:tcW w:w="1041"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w:t>
            </w:r>
          </w:p>
        </w:tc>
        <w:tc>
          <w:tcPr>
            <w:tcW w:w="1665"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巴中经开区管委会</w:t>
            </w:r>
          </w:p>
        </w:tc>
      </w:tr>
      <w:tr>
        <w:tblPrEx>
          <w:tblCellMar>
            <w:top w:w="0" w:type="dxa"/>
            <w:left w:w="108" w:type="dxa"/>
            <w:bottom w:w="0" w:type="dxa"/>
            <w:right w:w="108" w:type="dxa"/>
          </w:tblCellMar>
        </w:tblPrEx>
        <w:trPr>
          <w:trHeight w:val="856"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11</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巴中经开区</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农村污水收集与处理工程、饮用水水源保护</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巴中经开区农村污水处理设施及配套管网建设工程</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在27个行政村（含涉农社区）实施农村污水治理，主要建设污（雨）水管道、检查井、三格式化粪池及一体化污水处理池，实现80%以上行政村生活污水得到有效治理。</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巴中经开区兴文街道、时新街道、奇章街道</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2021—2025</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巴中经开区管委会</w:t>
            </w:r>
          </w:p>
        </w:tc>
      </w:tr>
      <w:tr>
        <w:tblPrEx>
          <w:tblCellMar>
            <w:top w:w="0" w:type="dxa"/>
            <w:left w:w="108" w:type="dxa"/>
            <w:bottom w:w="0" w:type="dxa"/>
            <w:right w:w="108" w:type="dxa"/>
          </w:tblCellMar>
        </w:tblPrEx>
        <w:trPr>
          <w:trHeight w:val="912"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12</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恩阳区</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城镇污水处理设施改造</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恩阳区柳林镇等4</w:t>
            </w:r>
            <w:r>
              <w:rPr>
                <w:rStyle w:val="40"/>
                <w:rFonts w:hint="default" w:ascii="Times New Roman" w:hAnsi="Times New Roman" w:cs="Times New Roman"/>
                <w:color w:val="auto"/>
                <w:sz w:val="20"/>
                <w:szCs w:val="20"/>
                <w:lang w:bidi="ar"/>
              </w:rPr>
              <w:t>个建制镇污水处理站改造项目</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实施恩阳区柳林镇、渔溪镇、茶坝镇、兴隆镇污水处理站改造。</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恩阳区柳林镇、渔溪镇、茶坝镇、兴隆镇</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2021—2023</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恩阳区人民政府</w:t>
            </w:r>
          </w:p>
        </w:tc>
      </w:tr>
      <w:tr>
        <w:tblPrEx>
          <w:tblCellMar>
            <w:top w:w="0" w:type="dxa"/>
            <w:left w:w="108" w:type="dxa"/>
            <w:bottom w:w="0" w:type="dxa"/>
            <w:right w:w="108" w:type="dxa"/>
          </w:tblCellMar>
        </w:tblPrEx>
        <w:trPr>
          <w:trHeight w:val="720" w:hRule="atLeast"/>
        </w:trPr>
        <w:tc>
          <w:tcPr>
            <w:tcW w:w="678" w:type="dxa"/>
            <w:tcBorders>
              <w:top w:val="nil"/>
              <w:left w:val="single" w:color="000000" w:sz="8" w:space="0"/>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13</w:t>
            </w:r>
          </w:p>
        </w:tc>
        <w:tc>
          <w:tcPr>
            <w:tcW w:w="1001"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恩阳区</w:t>
            </w:r>
          </w:p>
        </w:tc>
        <w:tc>
          <w:tcPr>
            <w:tcW w:w="1382"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城镇排水管网新建与改造修复项目</w:t>
            </w:r>
          </w:p>
        </w:tc>
        <w:tc>
          <w:tcPr>
            <w:tcW w:w="1655"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恩阳区城区污水管网新建及改造修复项目</w:t>
            </w:r>
          </w:p>
        </w:tc>
        <w:tc>
          <w:tcPr>
            <w:tcW w:w="5053" w:type="dxa"/>
            <w:tcBorders>
              <w:top w:val="nil"/>
              <w:left w:val="nil"/>
              <w:bottom w:val="single" w:color="auto" w:sz="4"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新建、改造恩阳古镇片区污水管网30km，雨水管网3.5km。</w:t>
            </w:r>
          </w:p>
        </w:tc>
        <w:tc>
          <w:tcPr>
            <w:tcW w:w="1398"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恩阳古镇片区</w:t>
            </w:r>
          </w:p>
        </w:tc>
        <w:tc>
          <w:tcPr>
            <w:tcW w:w="1041"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2021—2023</w:t>
            </w:r>
          </w:p>
        </w:tc>
        <w:tc>
          <w:tcPr>
            <w:tcW w:w="1665"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恩阳区人民政府</w:t>
            </w:r>
          </w:p>
        </w:tc>
      </w:tr>
      <w:tr>
        <w:tblPrEx>
          <w:tblCellMar>
            <w:top w:w="0" w:type="dxa"/>
            <w:left w:w="108" w:type="dxa"/>
            <w:bottom w:w="0" w:type="dxa"/>
            <w:right w:w="108" w:type="dxa"/>
          </w:tblCellMar>
        </w:tblPrEx>
        <w:trPr>
          <w:trHeight w:val="842" w:hRule="atLeast"/>
        </w:trPr>
        <w:tc>
          <w:tcPr>
            <w:tcW w:w="678"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14</w:t>
            </w:r>
          </w:p>
        </w:tc>
        <w:tc>
          <w:tcPr>
            <w:tcW w:w="1001"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恩阳区</w:t>
            </w:r>
          </w:p>
        </w:tc>
        <w:tc>
          <w:tcPr>
            <w:tcW w:w="1382"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城镇排水管网建设</w:t>
            </w:r>
          </w:p>
        </w:tc>
        <w:tc>
          <w:tcPr>
            <w:tcW w:w="1655"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巴中市恩阳区乡镇污水收集管网建设项目</w:t>
            </w:r>
          </w:p>
        </w:tc>
        <w:tc>
          <w:tcPr>
            <w:tcW w:w="5053" w:type="dxa"/>
            <w:tcBorders>
              <w:top w:val="single" w:color="auto" w:sz="4" w:space="0"/>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1.上八庙镇新建DN300污水管850m，雨水沟420m；2.玉山镇新建DN300污水管2100m，雨水沟1200m；3.双胜镇新建DN300污水管2600m，雨水沟1000m，污水检查井225个；4.渔溪镇新建DN300污水管网5500m；5.茶坝镇新建DN300污水管网2000m；6.兴隆镇新建DN300污水管网2600m，DN160污水支管网12km。</w:t>
            </w:r>
          </w:p>
        </w:tc>
        <w:tc>
          <w:tcPr>
            <w:tcW w:w="1398"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恩阳区上八庙镇、玉山镇、双胜镇、渔溪镇、茶坝镇、兴隆镇</w:t>
            </w:r>
          </w:p>
        </w:tc>
        <w:tc>
          <w:tcPr>
            <w:tcW w:w="1041"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2021—2023</w:t>
            </w:r>
          </w:p>
        </w:tc>
        <w:tc>
          <w:tcPr>
            <w:tcW w:w="1665"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恩阳区人民政府</w:t>
            </w:r>
          </w:p>
        </w:tc>
      </w:tr>
      <w:tr>
        <w:tblPrEx>
          <w:tblCellMar>
            <w:top w:w="0" w:type="dxa"/>
            <w:left w:w="108" w:type="dxa"/>
            <w:bottom w:w="0" w:type="dxa"/>
            <w:right w:w="108" w:type="dxa"/>
          </w:tblCellMar>
        </w:tblPrEx>
        <w:trPr>
          <w:trHeight w:val="1035"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15</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恩阳区</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农村污水收集与处理工程</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巴中市恩阳区农村环境整治项目</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1.新建管网305300m，DN700检查井5651座；2.新建三格式化粪池34010座、“预处理+生物接触氧化池”污水处理设施建设共计126套、“厌氧+人工湿地”污水处理设施建设共计14套、“A</w:t>
            </w:r>
            <w:r>
              <w:rPr>
                <w:rFonts w:hint="default" w:ascii="Times New Roman" w:hAnsi="Times New Roman" w:cs="Times New Roman"/>
                <w:sz w:val="20"/>
                <w:szCs w:val="20"/>
                <w:vertAlign w:val="superscript"/>
              </w:rPr>
              <w:t>2</w:t>
            </w:r>
            <w:r>
              <w:rPr>
                <w:rFonts w:hint="default" w:ascii="Times New Roman" w:hAnsi="Times New Roman" w:cs="Times New Roman"/>
                <w:sz w:val="20"/>
                <w:szCs w:val="20"/>
              </w:rPr>
              <w:t>/O一体化工艺” 污水处理设施建设共计21套；3.新建非规模化畜禽粪污“厌氧+还田”处理设施共计112套。</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恩阳区涉及乡镇</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2021—2025</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恩阳区人民政府</w:t>
            </w:r>
          </w:p>
        </w:tc>
      </w:tr>
      <w:tr>
        <w:tblPrEx>
          <w:tblCellMar>
            <w:top w:w="0" w:type="dxa"/>
            <w:left w:w="108" w:type="dxa"/>
            <w:bottom w:w="0" w:type="dxa"/>
            <w:right w:w="108" w:type="dxa"/>
          </w:tblCellMar>
        </w:tblPrEx>
        <w:trPr>
          <w:trHeight w:val="668"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16</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恩阳区</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农村污水收集与处理工程</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巴中市恩阳区聚居点农村生活污水治理项目</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新建83个聚居点配套管网59790m，DN700检查井961座，化粪池27座，生物厌氧池80座，生物接触氧化池80座。</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恩阳区涉及乡镇</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2021—2025</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恩阳区人民政府</w:t>
            </w:r>
          </w:p>
        </w:tc>
      </w:tr>
      <w:tr>
        <w:tblPrEx>
          <w:tblCellMar>
            <w:top w:w="0" w:type="dxa"/>
            <w:left w:w="108" w:type="dxa"/>
            <w:bottom w:w="0" w:type="dxa"/>
            <w:right w:w="108" w:type="dxa"/>
          </w:tblCellMar>
        </w:tblPrEx>
        <w:trPr>
          <w:trHeight w:val="694" w:hRule="atLeast"/>
        </w:trPr>
        <w:tc>
          <w:tcPr>
            <w:tcW w:w="678" w:type="dxa"/>
            <w:tcBorders>
              <w:top w:val="nil"/>
              <w:left w:val="single" w:color="000000" w:sz="8" w:space="0"/>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17</w:t>
            </w:r>
          </w:p>
        </w:tc>
        <w:tc>
          <w:tcPr>
            <w:tcW w:w="1001"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恩阳区</w:t>
            </w:r>
          </w:p>
        </w:tc>
        <w:tc>
          <w:tcPr>
            <w:tcW w:w="1382"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监管能力建设</w:t>
            </w:r>
          </w:p>
        </w:tc>
        <w:tc>
          <w:tcPr>
            <w:tcW w:w="1655"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巴中市恩阳区水质在线监测项目</w:t>
            </w:r>
          </w:p>
        </w:tc>
        <w:tc>
          <w:tcPr>
            <w:tcW w:w="5053" w:type="dxa"/>
            <w:tcBorders>
              <w:top w:val="nil"/>
              <w:left w:val="nil"/>
              <w:bottom w:val="single" w:color="auto" w:sz="4"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因地制宜在全区河流建设水质在线监测设施和场镇污水处理站在线监测设施。</w:t>
            </w:r>
          </w:p>
        </w:tc>
        <w:tc>
          <w:tcPr>
            <w:tcW w:w="1398"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恩阳区涉及乡镇</w:t>
            </w:r>
          </w:p>
        </w:tc>
        <w:tc>
          <w:tcPr>
            <w:tcW w:w="1041"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2021—2025</w:t>
            </w:r>
          </w:p>
        </w:tc>
        <w:tc>
          <w:tcPr>
            <w:tcW w:w="1665"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恩阳区人民政府</w:t>
            </w:r>
          </w:p>
        </w:tc>
      </w:tr>
      <w:tr>
        <w:tblPrEx>
          <w:tblCellMar>
            <w:top w:w="0" w:type="dxa"/>
            <w:left w:w="108" w:type="dxa"/>
            <w:bottom w:w="0" w:type="dxa"/>
            <w:right w:w="108" w:type="dxa"/>
          </w:tblCellMar>
        </w:tblPrEx>
        <w:trPr>
          <w:trHeight w:val="835" w:hRule="atLeast"/>
        </w:trPr>
        <w:tc>
          <w:tcPr>
            <w:tcW w:w="678"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18</w:t>
            </w:r>
          </w:p>
        </w:tc>
        <w:tc>
          <w:tcPr>
            <w:tcW w:w="1001"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w:t>
            </w:r>
          </w:p>
        </w:tc>
        <w:tc>
          <w:tcPr>
            <w:tcW w:w="1382"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城镇排水管网新建项目</w:t>
            </w:r>
          </w:p>
        </w:tc>
        <w:tc>
          <w:tcPr>
            <w:tcW w:w="1655"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平昌县县城排水管网新建及改造项目</w:t>
            </w:r>
          </w:p>
        </w:tc>
        <w:tc>
          <w:tcPr>
            <w:tcW w:w="5053" w:type="dxa"/>
            <w:tcBorders>
              <w:top w:val="single" w:color="auto" w:sz="4" w:space="0"/>
              <w:left w:val="nil"/>
              <w:bottom w:val="single" w:color="000000" w:sz="8" w:space="0"/>
              <w:right w:val="single" w:color="000000" w:sz="8" w:space="0"/>
            </w:tcBorders>
            <w:shd w:val="clear" w:color="auto" w:fill="auto"/>
            <w:vAlign w:val="center"/>
          </w:tcPr>
          <w:p>
            <w:pPr>
              <w:spacing w:line="200" w:lineRule="exact"/>
              <w:ind w:firstLine="0" w:firstLineChars="0"/>
              <w:jc w:val="left"/>
              <w:rPr>
                <w:rFonts w:hint="default" w:ascii="Times New Roman" w:hAnsi="Times New Roman" w:cs="Times New Roman"/>
                <w:sz w:val="20"/>
                <w:szCs w:val="20"/>
              </w:rPr>
            </w:pPr>
            <w:r>
              <w:rPr>
                <w:rFonts w:hint="default" w:ascii="Times New Roman" w:hAnsi="Times New Roman" w:cs="Times New Roman"/>
                <w:sz w:val="20"/>
                <w:szCs w:val="20"/>
              </w:rPr>
              <w:t>1.新建平昌县华严片区污水管网5km，雨水管网2km；2.新建陈家沟片区污水管网8km，雨水管网4km；3.新建平昌县火车站、黄滩坝片区污水管网14km，雨水管网8.1km；4.改造平昌县城市污水管网9km，雨水管网4km。</w:t>
            </w:r>
          </w:p>
        </w:tc>
        <w:tc>
          <w:tcPr>
            <w:tcW w:w="1398"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平昌县江口街道等</w:t>
            </w:r>
          </w:p>
        </w:tc>
        <w:tc>
          <w:tcPr>
            <w:tcW w:w="1041"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2021—2023</w:t>
            </w:r>
          </w:p>
        </w:tc>
        <w:tc>
          <w:tcPr>
            <w:tcW w:w="1665"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平昌县人民政府</w:t>
            </w:r>
          </w:p>
        </w:tc>
      </w:tr>
      <w:tr>
        <w:tblPrEx>
          <w:tblCellMar>
            <w:top w:w="0" w:type="dxa"/>
            <w:left w:w="108" w:type="dxa"/>
            <w:bottom w:w="0" w:type="dxa"/>
            <w:right w:w="108" w:type="dxa"/>
          </w:tblCellMar>
        </w:tblPrEx>
        <w:trPr>
          <w:trHeight w:val="716"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19</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城镇污水处理设施建设</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平昌县青云镇等4</w:t>
            </w:r>
            <w:r>
              <w:rPr>
                <w:rFonts w:hint="default" w:ascii="Times New Roman" w:hAnsi="Times New Roman" w:cs="Times New Roman"/>
                <w:sz w:val="20"/>
                <w:szCs w:val="20"/>
                <w:lang w:bidi="ar"/>
              </w:rPr>
              <w:t>个污水处理站新建项目</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新建青云镇、粉壁镇、土垭镇、大寨镇4个污水处理站，处理规模共计2450m</w:t>
            </w: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/d。</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平昌县青云镇、粉壁镇、土垭镇、大寨镇</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2021—2023</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平昌县人民政府</w:t>
            </w:r>
          </w:p>
        </w:tc>
      </w:tr>
      <w:tr>
        <w:tblPrEx>
          <w:tblCellMar>
            <w:top w:w="0" w:type="dxa"/>
            <w:left w:w="108" w:type="dxa"/>
            <w:bottom w:w="0" w:type="dxa"/>
            <w:right w:w="108" w:type="dxa"/>
          </w:tblCellMar>
        </w:tblPrEx>
        <w:trPr>
          <w:trHeight w:val="938"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20</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城镇污水处理设施改造</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平昌县涵水镇等3</w:t>
            </w:r>
            <w:r>
              <w:rPr>
                <w:rStyle w:val="40"/>
                <w:rFonts w:hint="default" w:ascii="Times New Roman" w:hAnsi="Times New Roman" w:cs="Times New Roman"/>
                <w:color w:val="auto"/>
                <w:sz w:val="20"/>
                <w:szCs w:val="20"/>
                <w:lang w:bidi="ar"/>
              </w:rPr>
              <w:t>个建制镇污水处理站提标改造项目</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实施平昌县涵水镇、灵山镇、得胜镇污水处理站提标升级改造。</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平昌县涵水镇、灵山镇、得胜镇</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2021—2023</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平昌县人民政府</w:t>
            </w:r>
          </w:p>
        </w:tc>
      </w:tr>
      <w:tr>
        <w:tblPrEx>
          <w:tblCellMar>
            <w:top w:w="0" w:type="dxa"/>
            <w:left w:w="108" w:type="dxa"/>
            <w:bottom w:w="0" w:type="dxa"/>
            <w:right w:w="108" w:type="dxa"/>
          </w:tblCellMar>
        </w:tblPrEx>
        <w:trPr>
          <w:trHeight w:val="682"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21</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城镇排水管网建设</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平昌县澌岸镇等28</w:t>
            </w:r>
            <w:r>
              <w:rPr>
                <w:rFonts w:hint="default" w:ascii="Times New Roman" w:hAnsi="Times New Roman" w:cs="Times New Roman"/>
                <w:sz w:val="20"/>
                <w:szCs w:val="20"/>
                <w:lang w:bidi="ar"/>
              </w:rPr>
              <w:t>个建制镇污水管网新建项目</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新建平昌县澌岸镇等28个建制镇雨污管道464km。</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平昌县28</w:t>
            </w:r>
            <w:r>
              <w:rPr>
                <w:rFonts w:hint="default" w:ascii="Times New Roman" w:hAnsi="Times New Roman" w:cs="Times New Roman"/>
                <w:sz w:val="20"/>
                <w:szCs w:val="20"/>
                <w:lang w:bidi="ar"/>
              </w:rPr>
              <w:t>个建制镇</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2021—2023</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平昌县人民政府</w:t>
            </w:r>
          </w:p>
        </w:tc>
      </w:tr>
      <w:tr>
        <w:tblPrEx>
          <w:tblCellMar>
            <w:top w:w="0" w:type="dxa"/>
            <w:left w:w="108" w:type="dxa"/>
            <w:bottom w:w="0" w:type="dxa"/>
            <w:right w:w="108" w:type="dxa"/>
          </w:tblCellMar>
        </w:tblPrEx>
        <w:trPr>
          <w:trHeight w:val="912" w:hRule="atLeast"/>
        </w:trPr>
        <w:tc>
          <w:tcPr>
            <w:tcW w:w="678" w:type="dxa"/>
            <w:tcBorders>
              <w:top w:val="nil"/>
              <w:left w:val="single" w:color="000000" w:sz="8" w:space="0"/>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22</w:t>
            </w:r>
          </w:p>
        </w:tc>
        <w:tc>
          <w:tcPr>
            <w:tcW w:w="1001"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w:t>
            </w:r>
          </w:p>
        </w:tc>
        <w:tc>
          <w:tcPr>
            <w:tcW w:w="1382"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城镇排水管网改造修复项目</w:t>
            </w:r>
          </w:p>
        </w:tc>
        <w:tc>
          <w:tcPr>
            <w:tcW w:w="1655"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平昌县白衣镇等6</w:t>
            </w:r>
            <w:r>
              <w:rPr>
                <w:rFonts w:hint="default" w:ascii="Times New Roman" w:hAnsi="Times New Roman" w:cs="Times New Roman"/>
                <w:sz w:val="20"/>
                <w:szCs w:val="20"/>
                <w:lang w:bidi="ar"/>
              </w:rPr>
              <w:t>个建制镇排水管网改造项目</w:t>
            </w:r>
          </w:p>
        </w:tc>
        <w:tc>
          <w:tcPr>
            <w:tcW w:w="5053" w:type="dxa"/>
            <w:tcBorders>
              <w:top w:val="nil"/>
              <w:left w:val="nil"/>
              <w:bottom w:val="single" w:color="auto" w:sz="4"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平昌县白衣镇、得胜镇、元山镇、涵水镇、灵山镇、云台镇进行排水管网改造，约29.3km。</w:t>
            </w:r>
          </w:p>
        </w:tc>
        <w:tc>
          <w:tcPr>
            <w:tcW w:w="1398"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平昌县白衣镇、得胜镇、元山镇、涵水镇、灵山镇、云台镇</w:t>
            </w:r>
          </w:p>
        </w:tc>
        <w:tc>
          <w:tcPr>
            <w:tcW w:w="1041"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2021—2022</w:t>
            </w:r>
          </w:p>
        </w:tc>
        <w:tc>
          <w:tcPr>
            <w:tcW w:w="1665"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平昌县人民政府</w:t>
            </w:r>
          </w:p>
        </w:tc>
      </w:tr>
      <w:tr>
        <w:tblPrEx>
          <w:tblCellMar>
            <w:top w:w="0" w:type="dxa"/>
            <w:left w:w="108" w:type="dxa"/>
            <w:bottom w:w="0" w:type="dxa"/>
            <w:right w:w="108" w:type="dxa"/>
          </w:tblCellMar>
        </w:tblPrEx>
        <w:trPr>
          <w:trHeight w:val="1035" w:hRule="atLeast"/>
        </w:trPr>
        <w:tc>
          <w:tcPr>
            <w:tcW w:w="678"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23</w:t>
            </w:r>
          </w:p>
        </w:tc>
        <w:tc>
          <w:tcPr>
            <w:tcW w:w="1001"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w:t>
            </w:r>
          </w:p>
        </w:tc>
        <w:tc>
          <w:tcPr>
            <w:tcW w:w="1382"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农村污水收集与处理工程</w:t>
            </w:r>
          </w:p>
        </w:tc>
        <w:tc>
          <w:tcPr>
            <w:tcW w:w="1655"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平昌县农村生活污水治理项目</w:t>
            </w:r>
          </w:p>
        </w:tc>
        <w:tc>
          <w:tcPr>
            <w:tcW w:w="5053" w:type="dxa"/>
            <w:tcBorders>
              <w:top w:val="single" w:color="auto" w:sz="4" w:space="0"/>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建设单户式农村化粪池102568座，采用A</w:t>
            </w:r>
            <w:r>
              <w:rPr>
                <w:rFonts w:hint="default" w:ascii="Times New Roman" w:hAnsi="Times New Roman" w:cs="Times New Roman"/>
                <w:sz w:val="20"/>
                <w:szCs w:val="20"/>
                <w:vertAlign w:val="superscript"/>
              </w:rPr>
              <w:t>2</w:t>
            </w:r>
            <w:r>
              <w:rPr>
                <w:rFonts w:hint="default" w:ascii="Times New Roman" w:hAnsi="Times New Roman" w:cs="Times New Roman"/>
                <w:sz w:val="20"/>
                <w:szCs w:val="20"/>
              </w:rPr>
              <w:t>/O一体化模式污水处理设施103座，生物接触氧化池1487座，人工湿地48720m</w:t>
            </w:r>
            <w:r>
              <w:rPr>
                <w:rFonts w:hint="default" w:ascii="Times New Roman" w:hAnsi="Times New Roman" w:cs="Times New Roman"/>
                <w:sz w:val="20"/>
                <w:szCs w:val="20"/>
                <w:vertAlign w:val="superscript"/>
              </w:rPr>
              <w:t>2</w:t>
            </w:r>
            <w:r>
              <w:rPr>
                <w:rFonts w:hint="default" w:ascii="Times New Roman" w:hAnsi="Times New Roman" w:cs="Times New Roman"/>
                <w:sz w:val="20"/>
                <w:szCs w:val="20"/>
              </w:rPr>
              <w:t>，调节池1590个，截污干管291.119km，污水支管网408.406km，入户管网627.364km。</w:t>
            </w:r>
          </w:p>
        </w:tc>
        <w:tc>
          <w:tcPr>
            <w:tcW w:w="1398"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平昌县涉及乡镇</w:t>
            </w:r>
          </w:p>
        </w:tc>
        <w:tc>
          <w:tcPr>
            <w:tcW w:w="1041"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2021—2025</w:t>
            </w:r>
          </w:p>
        </w:tc>
        <w:tc>
          <w:tcPr>
            <w:tcW w:w="1665"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平昌县人民政府</w:t>
            </w:r>
          </w:p>
        </w:tc>
      </w:tr>
      <w:tr>
        <w:tblPrEx>
          <w:tblCellMar>
            <w:top w:w="0" w:type="dxa"/>
            <w:left w:w="108" w:type="dxa"/>
            <w:bottom w:w="0" w:type="dxa"/>
            <w:right w:w="108" w:type="dxa"/>
          </w:tblCellMar>
        </w:tblPrEx>
        <w:trPr>
          <w:trHeight w:val="780"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24</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区域再生水循环利用</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区域再生水循环利用项目</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对平昌县污水处理厂和平昌县第二污水处理厂实施污水再生利用，通过“治、保、用”将尾水用于工业、景观、灌溉等再利用。</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平昌县江口街道</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2023—2025</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平昌县人民政府</w:t>
            </w:r>
          </w:p>
        </w:tc>
      </w:tr>
      <w:tr>
        <w:tblPrEx>
          <w:tblCellMar>
            <w:top w:w="0" w:type="dxa"/>
            <w:left w:w="108" w:type="dxa"/>
            <w:bottom w:w="0" w:type="dxa"/>
            <w:right w:w="108" w:type="dxa"/>
          </w:tblCellMar>
        </w:tblPrEx>
        <w:trPr>
          <w:trHeight w:val="854"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25</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水环境质量监测能力建设</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平昌县水环境质量监测能力建设项目</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增加水环境监测仪器设备50台（套），探索建设水环境监管与监测平台。</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2021—2025</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平昌县人民政府</w:t>
            </w:r>
          </w:p>
        </w:tc>
      </w:tr>
      <w:tr>
        <w:tblPrEx>
          <w:tblCellMar>
            <w:top w:w="0" w:type="dxa"/>
            <w:left w:w="108" w:type="dxa"/>
            <w:bottom w:w="0" w:type="dxa"/>
            <w:right w:w="108" w:type="dxa"/>
          </w:tblCellMar>
        </w:tblPrEx>
        <w:trPr>
          <w:trHeight w:val="616"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26</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监察能力建设</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环境监察能力提升项目</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执法能力提升、装备提升建设，对重点排污企业安装在线监测设备。</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2021—2025</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平昌县人民政府</w:t>
            </w:r>
          </w:p>
        </w:tc>
      </w:tr>
      <w:tr>
        <w:tblPrEx>
          <w:tblCellMar>
            <w:top w:w="0" w:type="dxa"/>
            <w:left w:w="108" w:type="dxa"/>
            <w:bottom w:w="0" w:type="dxa"/>
            <w:right w:w="108" w:type="dxa"/>
          </w:tblCellMar>
        </w:tblPrEx>
        <w:trPr>
          <w:trHeight w:val="962"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27</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城镇污水处理设施提标升级</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通江县城市生活污水处理厂提标改造项目</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对通江县城市生活污水处理厂进行提标改造，由一级B标提升至一级A标，处理规模3万吨/日，同时完善配套雨污管网。</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通江县诺江镇</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2021—2022</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通江县人民政府</w:t>
            </w:r>
          </w:p>
        </w:tc>
      </w:tr>
      <w:tr>
        <w:tblPrEx>
          <w:tblCellMar>
            <w:top w:w="0" w:type="dxa"/>
            <w:left w:w="108" w:type="dxa"/>
            <w:bottom w:w="0" w:type="dxa"/>
            <w:right w:w="108" w:type="dxa"/>
          </w:tblCellMar>
        </w:tblPrEx>
        <w:trPr>
          <w:trHeight w:val="90" w:hRule="atLeast"/>
        </w:trPr>
        <w:tc>
          <w:tcPr>
            <w:tcW w:w="678" w:type="dxa"/>
            <w:tcBorders>
              <w:top w:val="nil"/>
              <w:left w:val="single" w:color="000000" w:sz="8" w:space="0"/>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28</w:t>
            </w:r>
          </w:p>
        </w:tc>
        <w:tc>
          <w:tcPr>
            <w:tcW w:w="1001"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w:t>
            </w:r>
          </w:p>
        </w:tc>
        <w:tc>
          <w:tcPr>
            <w:tcW w:w="1382"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城镇污水处理设施建设</w:t>
            </w:r>
          </w:p>
        </w:tc>
        <w:tc>
          <w:tcPr>
            <w:tcW w:w="1655"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通江县城市污水处理厂（三期）新建项目</w:t>
            </w:r>
          </w:p>
        </w:tc>
        <w:tc>
          <w:tcPr>
            <w:tcW w:w="5053" w:type="dxa"/>
            <w:tcBorders>
              <w:top w:val="nil"/>
              <w:left w:val="nil"/>
              <w:bottom w:val="single" w:color="auto" w:sz="4"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建设处理规模15000m</w:t>
            </w: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/d污水处理站一座。</w:t>
            </w:r>
          </w:p>
        </w:tc>
        <w:tc>
          <w:tcPr>
            <w:tcW w:w="1398"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通江县诺江镇</w:t>
            </w:r>
          </w:p>
        </w:tc>
        <w:tc>
          <w:tcPr>
            <w:tcW w:w="1041"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2021—2023</w:t>
            </w:r>
          </w:p>
        </w:tc>
        <w:tc>
          <w:tcPr>
            <w:tcW w:w="1665"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通江县人民政府</w:t>
            </w:r>
          </w:p>
        </w:tc>
      </w:tr>
      <w:tr>
        <w:tblPrEx>
          <w:tblCellMar>
            <w:top w:w="0" w:type="dxa"/>
            <w:left w:w="108" w:type="dxa"/>
            <w:bottom w:w="0" w:type="dxa"/>
            <w:right w:w="108" w:type="dxa"/>
          </w:tblCellMar>
        </w:tblPrEx>
        <w:trPr>
          <w:trHeight w:val="935" w:hRule="atLeast"/>
        </w:trPr>
        <w:tc>
          <w:tcPr>
            <w:tcW w:w="678"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29</w:t>
            </w:r>
          </w:p>
        </w:tc>
        <w:tc>
          <w:tcPr>
            <w:tcW w:w="1001"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w:t>
            </w:r>
          </w:p>
        </w:tc>
        <w:tc>
          <w:tcPr>
            <w:tcW w:w="1382"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城镇排水管网新建与改造修复项目</w:t>
            </w:r>
          </w:p>
        </w:tc>
        <w:tc>
          <w:tcPr>
            <w:tcW w:w="1655"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通江县城市污水处理厂雨污管网新建及管网改造项目</w:t>
            </w:r>
          </w:p>
        </w:tc>
        <w:tc>
          <w:tcPr>
            <w:tcW w:w="5053" w:type="dxa"/>
            <w:tcBorders>
              <w:top w:val="single" w:color="auto" w:sz="4" w:space="0"/>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建设通江县城市污水处理厂污水收集管网41km，新建雨污分流管网20km，其中雨水管10km，污水管10km，改造污水收集管网20km。</w:t>
            </w:r>
          </w:p>
        </w:tc>
        <w:tc>
          <w:tcPr>
            <w:tcW w:w="1398"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通江县城区</w:t>
            </w:r>
          </w:p>
        </w:tc>
        <w:tc>
          <w:tcPr>
            <w:tcW w:w="1041"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2021—2023</w:t>
            </w:r>
          </w:p>
        </w:tc>
        <w:tc>
          <w:tcPr>
            <w:tcW w:w="1665"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通江县人民政府</w:t>
            </w:r>
          </w:p>
        </w:tc>
      </w:tr>
      <w:tr>
        <w:tblPrEx>
          <w:tblCellMar>
            <w:top w:w="0" w:type="dxa"/>
            <w:left w:w="108" w:type="dxa"/>
            <w:bottom w:w="0" w:type="dxa"/>
            <w:right w:w="108" w:type="dxa"/>
          </w:tblCellMar>
        </w:tblPrEx>
        <w:trPr>
          <w:trHeight w:val="1210"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30</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城镇污水处理设施建设</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通江县烟溪镇等6</w:t>
            </w:r>
            <w:r>
              <w:rPr>
                <w:rFonts w:hint="default" w:ascii="Times New Roman" w:hAnsi="Times New Roman" w:cs="Times New Roman"/>
                <w:sz w:val="20"/>
                <w:szCs w:val="20"/>
                <w:lang w:bidi="ar"/>
              </w:rPr>
              <w:t>个生活污水处理厂新建项目</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新建两河口镇、长坪镇、烟溪镇、兴隆镇、龙凤场镇、唱歌镇6座污水处理厂，处理规模共计2200m</w:t>
            </w: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/d。</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通江县两河口镇、长坪镇、烟溪镇、兴隆镇、龙凤场镇、唱歌镇</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2021—2023</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通江县人民政府</w:t>
            </w:r>
          </w:p>
        </w:tc>
      </w:tr>
      <w:tr>
        <w:tblPrEx>
          <w:tblCellMar>
            <w:top w:w="0" w:type="dxa"/>
            <w:left w:w="108" w:type="dxa"/>
            <w:bottom w:w="0" w:type="dxa"/>
            <w:right w:w="108" w:type="dxa"/>
          </w:tblCellMar>
        </w:tblPrEx>
        <w:trPr>
          <w:trHeight w:val="1045"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31</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城镇污水处理设施提标升级改造</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通江县涪阳镇等6</w:t>
            </w:r>
            <w:r>
              <w:rPr>
                <w:rFonts w:hint="default" w:ascii="Times New Roman" w:hAnsi="Times New Roman" w:cs="Times New Roman"/>
                <w:sz w:val="20"/>
                <w:szCs w:val="20"/>
                <w:lang w:bidi="ar"/>
              </w:rPr>
              <w:t>个建制镇污水处理设施提标升级改造项目</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通江县涪阳镇、诺水河、空山镇、三溪镇、广纳镇、铁佛镇等6座污水处理设施提标升级改造，处理规模共计6900m</w:t>
            </w: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/d。</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通江县涪阳镇、诺水河</w:t>
            </w:r>
            <w:r>
              <w:rPr>
                <w:rStyle w:val="39"/>
                <w:rFonts w:hint="default" w:ascii="Times New Roman" w:hAnsi="Times New Roman" w:cs="Times New Roman"/>
                <w:color w:val="auto"/>
                <w:sz w:val="20"/>
                <w:szCs w:val="20"/>
                <w:lang w:bidi="ar"/>
              </w:rPr>
              <w:t>镇、空山镇、三溪镇、广纳镇、铁佛镇</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2021—2023</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通江县人民政府</w:t>
            </w:r>
          </w:p>
        </w:tc>
      </w:tr>
      <w:tr>
        <w:tblPrEx>
          <w:tblCellMar>
            <w:top w:w="0" w:type="dxa"/>
            <w:left w:w="108" w:type="dxa"/>
            <w:bottom w:w="0" w:type="dxa"/>
            <w:right w:w="108" w:type="dxa"/>
          </w:tblCellMar>
        </w:tblPrEx>
        <w:trPr>
          <w:trHeight w:val="684"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32</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城镇排水管网新建与改造修复项目</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通江县建制镇排水管网新建及改造项目</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通江县29个建制镇污水管网新建项目，新建污水收集管网236km，改造排水管网201km。</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通江县29</w:t>
            </w:r>
            <w:r>
              <w:rPr>
                <w:rFonts w:hint="default" w:ascii="Times New Roman" w:hAnsi="Times New Roman" w:cs="Times New Roman"/>
                <w:sz w:val="20"/>
                <w:szCs w:val="20"/>
                <w:lang w:bidi="ar"/>
              </w:rPr>
              <w:t>个建制镇</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2022—2023</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通江县人民政府</w:t>
            </w:r>
          </w:p>
        </w:tc>
      </w:tr>
      <w:tr>
        <w:tblPrEx>
          <w:tblCellMar>
            <w:top w:w="0" w:type="dxa"/>
            <w:left w:w="108" w:type="dxa"/>
            <w:bottom w:w="0" w:type="dxa"/>
            <w:right w:w="108" w:type="dxa"/>
          </w:tblCellMar>
        </w:tblPrEx>
        <w:trPr>
          <w:trHeight w:val="767" w:hRule="atLeast"/>
        </w:trPr>
        <w:tc>
          <w:tcPr>
            <w:tcW w:w="678" w:type="dxa"/>
            <w:tcBorders>
              <w:top w:val="nil"/>
              <w:left w:val="single" w:color="000000" w:sz="8" w:space="0"/>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33</w:t>
            </w:r>
          </w:p>
        </w:tc>
        <w:tc>
          <w:tcPr>
            <w:tcW w:w="1001"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w:t>
            </w:r>
          </w:p>
        </w:tc>
        <w:tc>
          <w:tcPr>
            <w:tcW w:w="1382"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农村污水收集与处理工程</w:t>
            </w:r>
          </w:p>
        </w:tc>
        <w:tc>
          <w:tcPr>
            <w:tcW w:w="1655"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通江县农村水环境污染防治项目</w:t>
            </w:r>
          </w:p>
        </w:tc>
        <w:tc>
          <w:tcPr>
            <w:tcW w:w="5053" w:type="dxa"/>
            <w:tcBorders>
              <w:top w:val="nil"/>
              <w:left w:val="nil"/>
              <w:bottom w:val="single" w:color="auto" w:sz="4"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新增化粪池26200座，新建一体化污水处理设施106套，处理规模共计2000t/d；新建主管网76km，支管网212km。</w:t>
            </w:r>
          </w:p>
        </w:tc>
        <w:tc>
          <w:tcPr>
            <w:tcW w:w="1398"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通江县涉及乡镇</w:t>
            </w:r>
          </w:p>
        </w:tc>
        <w:tc>
          <w:tcPr>
            <w:tcW w:w="1041"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2021—2025</w:t>
            </w:r>
          </w:p>
        </w:tc>
        <w:tc>
          <w:tcPr>
            <w:tcW w:w="1665"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通江县人民政府</w:t>
            </w:r>
          </w:p>
        </w:tc>
      </w:tr>
      <w:tr>
        <w:tblPrEx>
          <w:tblCellMar>
            <w:top w:w="0" w:type="dxa"/>
            <w:left w:w="108" w:type="dxa"/>
            <w:bottom w:w="0" w:type="dxa"/>
            <w:right w:w="108" w:type="dxa"/>
          </w:tblCellMar>
        </w:tblPrEx>
        <w:trPr>
          <w:trHeight w:val="441" w:hRule="atLeast"/>
        </w:trPr>
        <w:tc>
          <w:tcPr>
            <w:tcW w:w="678"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34</w:t>
            </w:r>
          </w:p>
        </w:tc>
        <w:tc>
          <w:tcPr>
            <w:tcW w:w="1001" w:type="dxa"/>
            <w:tcBorders>
              <w:top w:val="single" w:color="auto" w:sz="4" w:space="0"/>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w:t>
            </w:r>
          </w:p>
        </w:tc>
        <w:tc>
          <w:tcPr>
            <w:tcW w:w="1382" w:type="dxa"/>
            <w:tcBorders>
              <w:top w:val="single" w:color="auto" w:sz="4" w:space="0"/>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城镇污水收集管网建设</w:t>
            </w:r>
          </w:p>
        </w:tc>
        <w:tc>
          <w:tcPr>
            <w:tcW w:w="1655" w:type="dxa"/>
            <w:tcBorders>
              <w:top w:val="single" w:color="auto" w:sz="4" w:space="0"/>
              <w:left w:val="nil"/>
              <w:bottom w:val="single" w:color="auto" w:sz="4"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南江县县城管网配套建设工程</w:t>
            </w:r>
          </w:p>
        </w:tc>
        <w:tc>
          <w:tcPr>
            <w:tcW w:w="5053" w:type="dxa"/>
            <w:tcBorders>
              <w:top w:val="single" w:color="auto" w:sz="4" w:space="0"/>
              <w:left w:val="nil"/>
              <w:bottom w:val="single" w:color="auto" w:sz="4"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新建主管网47km，支管网287km。</w:t>
            </w:r>
          </w:p>
        </w:tc>
        <w:tc>
          <w:tcPr>
            <w:tcW w:w="1398" w:type="dxa"/>
            <w:tcBorders>
              <w:top w:val="single" w:color="auto" w:sz="4" w:space="0"/>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南江县集州街道</w:t>
            </w:r>
          </w:p>
        </w:tc>
        <w:tc>
          <w:tcPr>
            <w:tcW w:w="1041" w:type="dxa"/>
            <w:tcBorders>
              <w:top w:val="single" w:color="auto" w:sz="4" w:space="0"/>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2021—2023</w:t>
            </w:r>
          </w:p>
        </w:tc>
        <w:tc>
          <w:tcPr>
            <w:tcW w:w="1665" w:type="dxa"/>
            <w:tcBorders>
              <w:top w:val="single" w:color="auto" w:sz="4" w:space="0"/>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南江县人民政府</w:t>
            </w:r>
          </w:p>
        </w:tc>
      </w:tr>
      <w:tr>
        <w:tblPrEx>
          <w:tblCellMar>
            <w:top w:w="0" w:type="dxa"/>
            <w:left w:w="108" w:type="dxa"/>
            <w:bottom w:w="0" w:type="dxa"/>
            <w:right w:w="108" w:type="dxa"/>
          </w:tblCellMar>
        </w:tblPrEx>
        <w:trPr>
          <w:trHeight w:val="1092" w:hRule="atLeast"/>
        </w:trPr>
        <w:tc>
          <w:tcPr>
            <w:tcW w:w="678"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35</w:t>
            </w:r>
          </w:p>
        </w:tc>
        <w:tc>
          <w:tcPr>
            <w:tcW w:w="1001"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w:t>
            </w:r>
          </w:p>
        </w:tc>
        <w:tc>
          <w:tcPr>
            <w:tcW w:w="1382"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城镇污水处理设施改造</w:t>
            </w:r>
          </w:p>
        </w:tc>
        <w:tc>
          <w:tcPr>
            <w:tcW w:w="1655"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南江县乡镇污水处理设施及排水管网改造项目</w:t>
            </w:r>
          </w:p>
        </w:tc>
        <w:tc>
          <w:tcPr>
            <w:tcW w:w="5053" w:type="dxa"/>
            <w:tcBorders>
              <w:top w:val="single" w:color="auto" w:sz="4" w:space="0"/>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南江县高塔镇、八庙镇、和平镇、公山镇、双流镇、关路镇、石滩镇污水处理站实施升级改造，改造规模3500m</w:t>
            </w: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/d；云顶镇、兴马镇、关门镇、仁和镇、贵民镇污水收集管网改造7.4km。</w:t>
            </w:r>
          </w:p>
        </w:tc>
        <w:tc>
          <w:tcPr>
            <w:tcW w:w="1398"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南江县高塔镇、八庙镇、和平镇、公山镇、双流镇、关路镇、石滩镇</w:t>
            </w:r>
          </w:p>
        </w:tc>
        <w:tc>
          <w:tcPr>
            <w:tcW w:w="1041"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2021—2023</w:t>
            </w:r>
          </w:p>
        </w:tc>
        <w:tc>
          <w:tcPr>
            <w:tcW w:w="1665" w:type="dxa"/>
            <w:tcBorders>
              <w:top w:val="single" w:color="auto" w:sz="4" w:space="0"/>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南江县人民政府</w:t>
            </w:r>
          </w:p>
        </w:tc>
      </w:tr>
      <w:tr>
        <w:tblPrEx>
          <w:tblCellMar>
            <w:top w:w="0" w:type="dxa"/>
            <w:left w:w="108" w:type="dxa"/>
            <w:bottom w:w="0" w:type="dxa"/>
            <w:right w:w="108" w:type="dxa"/>
          </w:tblCellMar>
        </w:tblPrEx>
        <w:trPr>
          <w:trHeight w:val="822"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36</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城镇污水收集管网建设</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南江县乡镇污水管网建设工程项目</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南江县19个乡镇建设污水收集管网，共333.226km，其中主管46.74km、次干管286.486km；建设检查井6099座，污水提升泵站43座。</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南江县涉及乡镇</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2021—2023</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南江县人民政府</w:t>
            </w:r>
          </w:p>
        </w:tc>
      </w:tr>
      <w:tr>
        <w:tblPrEx>
          <w:tblCellMar>
            <w:top w:w="0" w:type="dxa"/>
            <w:left w:w="108" w:type="dxa"/>
            <w:bottom w:w="0" w:type="dxa"/>
            <w:right w:w="108" w:type="dxa"/>
          </w:tblCellMar>
        </w:tblPrEx>
        <w:trPr>
          <w:trHeight w:val="929"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37</w:t>
            </w:r>
          </w:p>
        </w:tc>
        <w:tc>
          <w:tcPr>
            <w:tcW w:w="100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w:t>
            </w:r>
          </w:p>
        </w:tc>
        <w:tc>
          <w:tcPr>
            <w:tcW w:w="1382"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农村污水收集与处理工程</w:t>
            </w:r>
          </w:p>
        </w:tc>
        <w:tc>
          <w:tcPr>
            <w:tcW w:w="165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南江县农村聚集点污水处理设施建设项目</w:t>
            </w:r>
          </w:p>
        </w:tc>
        <w:tc>
          <w:tcPr>
            <w:tcW w:w="5053" w:type="dxa"/>
            <w:tcBorders>
              <w:top w:val="nil"/>
              <w:left w:val="nil"/>
              <w:bottom w:val="single" w:color="000000" w:sz="8"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南江县何家坪村二社744个农村聚居点、院落新建696个“厌氧净化池+贮存池”污水处理设施，新建48个“A</w:t>
            </w:r>
            <w:r>
              <w:rPr>
                <w:rFonts w:hint="default" w:ascii="Times New Roman" w:hAnsi="Times New Roman" w:cs="Times New Roman"/>
                <w:sz w:val="20"/>
                <w:szCs w:val="20"/>
                <w:vertAlign w:val="superscript"/>
              </w:rPr>
              <w:t>2</w:t>
            </w:r>
            <w:r>
              <w:rPr>
                <w:rFonts w:hint="default" w:ascii="Times New Roman" w:hAnsi="Times New Roman" w:cs="Times New Roman"/>
                <w:sz w:val="20"/>
                <w:szCs w:val="20"/>
              </w:rPr>
              <w:t>O+MBBR”工艺的一体化污水处理设施，实施改厕改圈156735户，配套建设污水收集管网506.961km。</w:t>
            </w:r>
          </w:p>
        </w:tc>
        <w:tc>
          <w:tcPr>
            <w:tcW w:w="1398"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南江县涉及乡镇</w:t>
            </w:r>
          </w:p>
        </w:tc>
        <w:tc>
          <w:tcPr>
            <w:tcW w:w="1041"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2021—2025</w:t>
            </w:r>
          </w:p>
        </w:tc>
        <w:tc>
          <w:tcPr>
            <w:tcW w:w="1665" w:type="dxa"/>
            <w:tcBorders>
              <w:top w:val="nil"/>
              <w:left w:val="nil"/>
              <w:bottom w:val="single" w:color="000000" w:sz="8"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南江县人民政府</w:t>
            </w:r>
          </w:p>
        </w:tc>
      </w:tr>
      <w:tr>
        <w:tblPrEx>
          <w:tblCellMar>
            <w:top w:w="0" w:type="dxa"/>
            <w:left w:w="108" w:type="dxa"/>
            <w:bottom w:w="0" w:type="dxa"/>
            <w:right w:w="108" w:type="dxa"/>
          </w:tblCellMar>
        </w:tblPrEx>
        <w:trPr>
          <w:trHeight w:val="783" w:hRule="atLeast"/>
        </w:trPr>
        <w:tc>
          <w:tcPr>
            <w:tcW w:w="678" w:type="dxa"/>
            <w:tcBorders>
              <w:top w:val="nil"/>
              <w:left w:val="single" w:color="000000" w:sz="8" w:space="0"/>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38</w:t>
            </w:r>
          </w:p>
        </w:tc>
        <w:tc>
          <w:tcPr>
            <w:tcW w:w="1001"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w:t>
            </w:r>
          </w:p>
        </w:tc>
        <w:tc>
          <w:tcPr>
            <w:tcW w:w="1382"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农村污水收集与处理工程</w:t>
            </w:r>
          </w:p>
        </w:tc>
        <w:tc>
          <w:tcPr>
            <w:tcW w:w="1655"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南江县农村水环境污染防治实施项目</w:t>
            </w:r>
          </w:p>
        </w:tc>
        <w:tc>
          <w:tcPr>
            <w:tcW w:w="5053" w:type="dxa"/>
            <w:tcBorders>
              <w:top w:val="nil"/>
              <w:left w:val="nil"/>
              <w:bottom w:val="single" w:color="auto" w:sz="4" w:space="0"/>
              <w:right w:val="single" w:color="000000" w:sz="8"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建设分散式污水处理设施10174处，纳厂管网46km；建设总处理能力总共1390m</w:t>
            </w: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/d的集中污水处理设施，建设污水收集管网71.13km。</w:t>
            </w:r>
          </w:p>
        </w:tc>
        <w:tc>
          <w:tcPr>
            <w:tcW w:w="1398"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南江县涉及乡镇</w:t>
            </w:r>
          </w:p>
        </w:tc>
        <w:tc>
          <w:tcPr>
            <w:tcW w:w="1041"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2021—2025</w:t>
            </w:r>
          </w:p>
        </w:tc>
        <w:tc>
          <w:tcPr>
            <w:tcW w:w="1665" w:type="dxa"/>
            <w:tcBorders>
              <w:top w:val="nil"/>
              <w:left w:val="nil"/>
              <w:bottom w:val="single" w:color="auto" w:sz="4" w:space="0"/>
              <w:right w:val="single" w:color="000000" w:sz="8"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南江县人民政府</w:t>
            </w:r>
          </w:p>
        </w:tc>
      </w:tr>
      <w:tr>
        <w:tblPrEx>
          <w:tblCellMar>
            <w:top w:w="0" w:type="dxa"/>
            <w:left w:w="108" w:type="dxa"/>
            <w:bottom w:w="0" w:type="dxa"/>
            <w:right w:w="108" w:type="dxa"/>
          </w:tblCellMar>
        </w:tblPrEx>
        <w:trPr>
          <w:trHeight w:val="660" w:hRule="atLeast"/>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39</w:t>
            </w:r>
          </w:p>
        </w:tc>
        <w:tc>
          <w:tcPr>
            <w:tcW w:w="10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农村环境连片整治</w:t>
            </w:r>
          </w:p>
        </w:tc>
        <w:tc>
          <w:tcPr>
            <w:tcW w:w="1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ind w:firstLine="0" w:firstLineChars="0"/>
              <w:jc w:val="left"/>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光雾山镇农村环境综合整治工程</w:t>
            </w:r>
          </w:p>
        </w:tc>
        <w:tc>
          <w:tcPr>
            <w:tcW w:w="50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ind w:firstLine="0" w:firstLineChars="0"/>
              <w:contextualSpacing/>
              <w:jc w:val="left"/>
              <w:rPr>
                <w:rFonts w:hint="default" w:ascii="Times New Roman" w:hAnsi="Times New Roman" w:cs="Times New Roman"/>
                <w:sz w:val="20"/>
                <w:szCs w:val="20"/>
              </w:rPr>
            </w:pPr>
            <w:r>
              <w:rPr>
                <w:rFonts w:hint="default" w:ascii="Times New Roman" w:hAnsi="Times New Roman" w:cs="Times New Roman"/>
                <w:sz w:val="20"/>
                <w:szCs w:val="20"/>
              </w:rPr>
              <w:t>开展光雾山镇农村生活污水治理。</w:t>
            </w:r>
          </w:p>
        </w:tc>
        <w:tc>
          <w:tcPr>
            <w:tcW w:w="1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南江县光雾山镇</w:t>
            </w:r>
          </w:p>
        </w:tc>
        <w:tc>
          <w:tcPr>
            <w:tcW w:w="10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2022—2025</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ind w:firstLine="0" w:firstLineChars="0"/>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lang w:bidi="ar"/>
              </w:rPr>
              <w:t>南江县人民政府</w:t>
            </w:r>
          </w:p>
        </w:tc>
      </w:tr>
    </w:tbl>
    <w:p>
      <w:pPr>
        <w:spacing w:before="312" w:beforeLines="100" w:after="156" w:afterLines="50" w:line="360" w:lineRule="auto"/>
        <w:ind w:firstLine="440"/>
        <w:rPr>
          <w:rFonts w:hint="default" w:ascii="Times New Roman" w:hAnsi="Times New Roman" w:eastAsia="黑体" w:cs="Times New Roman"/>
          <w:sz w:val="22"/>
          <w:szCs w:val="22"/>
        </w:rPr>
      </w:pPr>
      <w:bookmarkStart w:id="203" w:name="_Toc25165"/>
      <w:bookmarkStart w:id="204" w:name="_Toc2588"/>
      <w:bookmarkStart w:id="205" w:name="_Toc20814"/>
      <w:r>
        <w:rPr>
          <w:rFonts w:hint="default" w:ascii="Times New Roman" w:hAnsi="Times New Roman" w:eastAsia="黑体" w:cs="Times New Roman"/>
          <w:sz w:val="22"/>
          <w:szCs w:val="22"/>
        </w:rPr>
        <w:t>* 数据来源：《巴中市城镇生活污水处理设施建设三年推进工作方案（2021—2023年）》《巴中市“十四五”水生态环境保护规划》</w:t>
      </w:r>
      <w:bookmarkEnd w:id="203"/>
      <w:bookmarkEnd w:id="204"/>
      <w:bookmarkEnd w:id="205"/>
    </w:p>
    <w:p>
      <w:pPr>
        <w:numPr>
          <w:ilvl w:val="255"/>
          <w:numId w:val="0"/>
        </w:numPr>
        <w:rPr>
          <w:rFonts w:hint="default" w:ascii="Times New Roman" w:hAnsi="Times New Roman" w:cs="Times New Roman"/>
        </w:rPr>
        <w:sectPr>
          <w:pgSz w:w="16838" w:h="11906" w:orient="landscape"/>
          <w:pgMar w:top="1588" w:right="1587" w:bottom="1587" w:left="1587" w:header="851" w:footer="992" w:gutter="0"/>
          <w:cols w:space="425" w:num="1"/>
          <w:docGrid w:type="lines" w:linePitch="312" w:charSpace="0"/>
        </w:sectPr>
      </w:pPr>
    </w:p>
    <w:p>
      <w:pPr>
        <w:pStyle w:val="24"/>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sz w:val="32"/>
          <w:szCs w:val="32"/>
          <w:lang w:val="zh-CN"/>
        </w:rPr>
      </w:pPr>
      <w:bookmarkStart w:id="206" w:name="_Toc7790"/>
      <w:bookmarkStart w:id="207" w:name="_Toc11865"/>
      <w:bookmarkStart w:id="208" w:name="_Toc524"/>
      <w:bookmarkStart w:id="209" w:name="_Toc28853"/>
      <w:bookmarkStart w:id="210" w:name="_Toc28820"/>
      <w:bookmarkStart w:id="211" w:name="_Toc13993"/>
      <w:bookmarkStart w:id="212" w:name="_Toc2692"/>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3 \* GB3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③</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 xml:space="preserve"> </w:t>
      </w:r>
      <w:bookmarkEnd w:id="206"/>
      <w:bookmarkEnd w:id="207"/>
      <w:bookmarkEnd w:id="208"/>
      <w:bookmarkEnd w:id="209"/>
      <w:bookmarkEnd w:id="210"/>
      <w:bookmarkEnd w:id="211"/>
      <w:bookmarkEnd w:id="212"/>
      <w:r>
        <w:rPr>
          <w:rFonts w:hint="default" w:ascii="Times New Roman" w:hAnsi="Times New Roman" w:eastAsia="仿宋_GB2312" w:cs="Times New Roman"/>
          <w:sz w:val="32"/>
          <w:szCs w:val="32"/>
        </w:rPr>
        <w:t>城市</w:t>
      </w:r>
      <w:r>
        <w:rPr>
          <w:rFonts w:hint="default" w:ascii="Times New Roman" w:hAnsi="Times New Roman" w:eastAsia="仿宋_GB2312" w:cs="Times New Roman"/>
          <w:sz w:val="32"/>
          <w:szCs w:val="32"/>
          <w:lang w:val="zh-CN"/>
        </w:rPr>
        <w:t>非</w:t>
      </w:r>
      <w:r>
        <w:rPr>
          <w:rFonts w:hint="default" w:ascii="Times New Roman" w:hAnsi="Times New Roman" w:eastAsia="仿宋_GB2312" w:cs="Times New Roman"/>
          <w:sz w:val="32"/>
          <w:szCs w:val="32"/>
        </w:rPr>
        <w:t>常规</w:t>
      </w:r>
      <w:r>
        <w:rPr>
          <w:rFonts w:hint="default" w:ascii="Times New Roman" w:hAnsi="Times New Roman" w:eastAsia="仿宋_GB2312" w:cs="Times New Roman"/>
          <w:sz w:val="32"/>
          <w:szCs w:val="32"/>
          <w:lang w:val="zh-CN"/>
        </w:rPr>
        <w:t>水资源利用</w:t>
      </w:r>
      <w:r>
        <w:rPr>
          <w:rFonts w:hint="default" w:ascii="Times New Roman" w:hAnsi="Times New Roman" w:eastAsia="仿宋_GB2312" w:cs="Times New Roman"/>
          <w:sz w:val="32"/>
          <w:szCs w:val="32"/>
        </w:rPr>
        <w:t>规划方案</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使巴中市2025年城区污水利用率达到20%，根据《巴中市“十四五”水安全保障规划》，拟在住宅小区、公共绿地、工业企业和污水处理厂安装再生水利用设施，改造供水管网，新建废水收集系统，设置加压泵站，沿途输水管道设有专用支管、阀门、消火栓等附属设施，作为绿化、道路浇洒、消防、洗车等用水，提高全市再生水利用效率。规划到2025年巴中市再生水规划使用量800万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，折合2.2万t/d。</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巴中市现有县级以上污水处理厂7座，设计污水处理能力35.86万t/d（需相关部门确认）。拟到2035年完成巴中市城区及县城污水处理厂升级改造，处理后水体能达到一级A标，安装一批再生水利用设施及管网，市政杂用、工业用水、河流生态补水使用再生水成为常态，使城区再生水利用率达到25%，再生水规划使用量1850万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，折合5万t/d。</w:t>
      </w:r>
    </w:p>
    <w:p>
      <w:pPr>
        <w:keepNext w:val="0"/>
        <w:keepLines w:val="0"/>
        <w:pageBreakBefore w:val="0"/>
        <w:widowControl w:val="0"/>
        <w:numPr>
          <w:ilvl w:val="255"/>
          <w:numId w:val="0"/>
        </w:numPr>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虑到巴中市城市经济社会发展及生态环境对污水处理及再生利用设施建设的需要，结合在建和拟建污水处理厂实际，统筹考虑技术经济因素和对生态环境的影响，以及不同水质的用水要求，研究制定巴中市“十四五”污水资源化利用等相关规划，在充分发挥现有工程潜力的基础上，提出不同水平年在建和拟建的污水出厂/再生水厂的规划方案，增强和提高再生水开发利用程度与调控能力。本次规划拟采用以下方案进行再生水利用：</w:t>
      </w:r>
    </w:p>
    <w:p>
      <w:pPr>
        <w:pStyle w:val="32"/>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b w:val="0"/>
          <w:sz w:val="32"/>
          <w:szCs w:val="32"/>
        </w:rPr>
      </w:pPr>
    </w:p>
    <w:p>
      <w:pPr>
        <w:pStyle w:val="32"/>
        <w:ind w:firstLine="0" w:firstLineChars="0"/>
        <w:jc w:val="center"/>
        <w:rPr>
          <w:rFonts w:hint="default" w:ascii="Times New Roman" w:hAnsi="Times New Roman" w:eastAsia="黑体" w:cs="Times New Roman"/>
          <w:b w:val="0"/>
          <w:sz w:val="24"/>
          <w:szCs w:val="24"/>
        </w:rPr>
      </w:pPr>
    </w:p>
    <w:p>
      <w:pPr>
        <w:pStyle w:val="32"/>
        <w:ind w:firstLine="0" w:firstLineChars="0"/>
        <w:jc w:val="center"/>
        <w:rPr>
          <w:rFonts w:hint="default" w:ascii="Times New Roman" w:hAnsi="Times New Roman" w:eastAsia="黑体" w:cs="Times New Roman"/>
          <w:b w:val="0"/>
          <w:sz w:val="24"/>
          <w:szCs w:val="24"/>
        </w:rPr>
      </w:pPr>
      <w:r>
        <w:rPr>
          <w:rFonts w:hint="default" w:ascii="Times New Roman" w:hAnsi="Times New Roman" w:eastAsia="黑体" w:cs="Times New Roman"/>
          <w:b w:val="0"/>
          <w:sz w:val="24"/>
          <w:szCs w:val="24"/>
        </w:rPr>
        <w:t>表5.17 非常规水利用规划建设重点项目表</w:t>
      </w:r>
    </w:p>
    <w:tbl>
      <w:tblPr>
        <w:tblStyle w:val="18"/>
        <w:tblW w:w="8943" w:type="dxa"/>
        <w:tblInd w:w="0" w:type="dxa"/>
        <w:tblLayout w:type="fixed"/>
        <w:tblCellMar>
          <w:top w:w="0" w:type="dxa"/>
          <w:left w:w="108" w:type="dxa"/>
          <w:bottom w:w="0" w:type="dxa"/>
          <w:right w:w="108" w:type="dxa"/>
        </w:tblCellMar>
      </w:tblPr>
      <w:tblGrid>
        <w:gridCol w:w="1152"/>
        <w:gridCol w:w="1272"/>
        <w:gridCol w:w="1550"/>
        <w:gridCol w:w="3994"/>
        <w:gridCol w:w="975"/>
      </w:tblGrid>
      <w:tr>
        <w:tblPrEx>
          <w:tblCellMar>
            <w:top w:w="0" w:type="dxa"/>
            <w:left w:w="108" w:type="dxa"/>
            <w:bottom w:w="0" w:type="dxa"/>
            <w:right w:w="108" w:type="dxa"/>
          </w:tblCellMar>
        </w:tblPrEx>
        <w:trPr>
          <w:trHeight w:val="480" w:hRule="atLeast"/>
        </w:trPr>
        <w:tc>
          <w:tcPr>
            <w:tcW w:w="1152"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Style w:val="43"/>
                <w:rFonts w:hint="default" w:ascii="Times New Roman" w:hAnsi="Times New Roman" w:eastAsia="黑体" w:cs="Times New Roman"/>
                <w:color w:val="auto"/>
                <w:lang w:bidi="ar"/>
              </w:rPr>
            </w:pPr>
            <w:r>
              <w:rPr>
                <w:rFonts w:hint="default" w:ascii="Times New Roman" w:hAnsi="Times New Roman" w:eastAsia="黑体" w:cs="Times New Roman"/>
                <w:kern w:val="0"/>
                <w:sz w:val="18"/>
                <w:szCs w:val="18"/>
                <w:lang w:bidi="ar"/>
              </w:rPr>
              <w:t>实施年份</w:t>
            </w:r>
          </w:p>
        </w:tc>
        <w:tc>
          <w:tcPr>
            <w:tcW w:w="1272"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Style w:val="43"/>
                <w:rFonts w:hint="default" w:ascii="Times New Roman" w:hAnsi="Times New Roman" w:eastAsia="黑体" w:cs="Times New Roman"/>
                <w:color w:val="auto"/>
                <w:lang w:bidi="ar"/>
              </w:rPr>
            </w:pPr>
            <w:r>
              <w:rPr>
                <w:rStyle w:val="43"/>
                <w:rFonts w:hint="default" w:ascii="Times New Roman" w:hAnsi="Times New Roman" w:eastAsia="黑体" w:cs="Times New Roman"/>
                <w:color w:val="auto"/>
                <w:lang w:bidi="ar"/>
              </w:rPr>
              <w:t>建设地点</w:t>
            </w:r>
          </w:p>
        </w:tc>
        <w:tc>
          <w:tcPr>
            <w:tcW w:w="155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Style w:val="43"/>
                <w:rFonts w:hint="default" w:ascii="Times New Roman" w:hAnsi="Times New Roman" w:eastAsia="黑体" w:cs="Times New Roman"/>
                <w:color w:val="auto"/>
                <w:lang w:bidi="ar"/>
              </w:rPr>
            </w:pPr>
            <w:r>
              <w:rPr>
                <w:rStyle w:val="43"/>
                <w:rFonts w:hint="default" w:ascii="Times New Roman" w:hAnsi="Times New Roman" w:eastAsia="黑体" w:cs="Times New Roman"/>
                <w:color w:val="auto"/>
                <w:lang w:bidi="ar"/>
              </w:rPr>
              <w:t>工程任务</w:t>
            </w:r>
          </w:p>
        </w:tc>
        <w:tc>
          <w:tcPr>
            <w:tcW w:w="3994" w:type="dxa"/>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Style w:val="43"/>
                <w:rFonts w:hint="default" w:ascii="Times New Roman" w:hAnsi="Times New Roman" w:eastAsia="黑体" w:cs="Times New Roman"/>
                <w:color w:val="auto"/>
                <w:lang w:bidi="ar"/>
              </w:rPr>
            </w:pPr>
            <w:r>
              <w:rPr>
                <w:rStyle w:val="43"/>
                <w:rFonts w:hint="default" w:ascii="Times New Roman" w:hAnsi="Times New Roman" w:eastAsia="黑体" w:cs="Times New Roman"/>
                <w:color w:val="auto"/>
                <w:lang w:bidi="ar"/>
              </w:rPr>
              <w:t>主要建设内容和规模</w:t>
            </w:r>
          </w:p>
        </w:tc>
        <w:tc>
          <w:tcPr>
            <w:tcW w:w="9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Style w:val="43"/>
                <w:rFonts w:hint="default" w:ascii="Times New Roman" w:hAnsi="Times New Roman" w:eastAsia="黑体" w:cs="Times New Roman"/>
                <w:color w:val="auto"/>
                <w:lang w:eastAsia="zh-CN" w:bidi="ar"/>
              </w:rPr>
            </w:pPr>
            <w:r>
              <w:rPr>
                <w:rStyle w:val="43"/>
                <w:rFonts w:hint="default" w:ascii="Times New Roman" w:hAnsi="Times New Roman" w:eastAsia="黑体" w:cs="Times New Roman"/>
                <w:color w:val="auto"/>
                <w:lang w:bidi="ar"/>
              </w:rPr>
              <w:t>建设</w:t>
            </w:r>
          </w:p>
          <w:p>
            <w:pPr>
              <w:widowControl/>
              <w:spacing w:line="240" w:lineRule="auto"/>
              <w:ind w:firstLine="0" w:firstLineChars="0"/>
              <w:jc w:val="center"/>
              <w:textAlignment w:val="center"/>
              <w:rPr>
                <w:rStyle w:val="43"/>
                <w:rFonts w:hint="default" w:ascii="Times New Roman" w:hAnsi="Times New Roman" w:eastAsia="黑体" w:cs="Times New Roman"/>
                <w:color w:val="auto"/>
                <w:lang w:bidi="ar"/>
              </w:rPr>
            </w:pPr>
            <w:r>
              <w:rPr>
                <w:rStyle w:val="43"/>
                <w:rFonts w:hint="default" w:ascii="Times New Roman" w:hAnsi="Times New Roman" w:eastAsia="黑体" w:cs="Times New Roman"/>
                <w:color w:val="auto"/>
                <w:lang w:bidi="ar"/>
              </w:rPr>
              <w:t>性质</w:t>
            </w:r>
          </w:p>
        </w:tc>
      </w:tr>
      <w:tr>
        <w:tblPrEx>
          <w:tblCellMar>
            <w:top w:w="0" w:type="dxa"/>
            <w:left w:w="108" w:type="dxa"/>
            <w:bottom w:w="0" w:type="dxa"/>
            <w:right w:w="108" w:type="dxa"/>
          </w:tblCellMar>
        </w:tblPrEx>
        <w:trPr>
          <w:trHeight w:val="1125"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2021-2025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住宅小区、公共绿地、工业企业和污水处理厂</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安装再生水利用设施，提高再生水利用效率，节约水资源</w:t>
            </w:r>
          </w:p>
        </w:tc>
        <w:tc>
          <w:tcPr>
            <w:tcW w:w="3994" w:type="dxa"/>
            <w:tcBorders>
              <w:top w:val="single" w:color="000000" w:sz="4" w:space="0"/>
              <w:left w:val="nil"/>
              <w:bottom w:val="single" w:color="000000" w:sz="4" w:space="0"/>
              <w:right w:val="single" w:color="000000" w:sz="4" w:space="0"/>
            </w:tcBorders>
            <w:shd w:val="clear" w:color="auto" w:fill="auto"/>
            <w:vAlign w:val="center"/>
          </w:tcPr>
          <w:p>
            <w:pPr>
              <w:widowControl/>
              <w:spacing w:line="220" w:lineRule="exact"/>
              <w:ind w:firstLine="0" w:firstLineChars="0"/>
              <w:jc w:val="left"/>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改造供水管网，新建废水收集系统，设置加压泵站，沿途输水管道设有专用支管、阀门、消火栓等附属设施，铺设雨水收集管网，增加小微型雨水收集利用工程，作为绿化、道路浇洒、消防、洗车等用水；规划使用量800万m</w:t>
            </w:r>
            <w:r>
              <w:rPr>
                <w:rFonts w:hint="default" w:ascii="Times New Roman" w:hAnsi="Times New Roman" w:cs="Times New Roman"/>
                <w:kern w:val="0"/>
                <w:sz w:val="18"/>
                <w:szCs w:val="18"/>
                <w:vertAlign w:val="superscript"/>
                <w:lang w:bidi="ar"/>
              </w:rPr>
              <w:t>3</w:t>
            </w:r>
            <w:r>
              <w:rPr>
                <w:rFonts w:hint="default" w:ascii="Times New Roman" w:hAnsi="Times New Roman" w:cs="Times New Roman"/>
                <w:kern w:val="0"/>
                <w:sz w:val="18"/>
                <w:szCs w:val="18"/>
                <w:lang w:bidi="ar"/>
              </w:rPr>
              <w:t>，折合2.2万t/d。</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拟建</w:t>
            </w:r>
          </w:p>
        </w:tc>
      </w:tr>
      <w:tr>
        <w:tblPrEx>
          <w:tblCellMar>
            <w:top w:w="0" w:type="dxa"/>
            <w:left w:w="108" w:type="dxa"/>
            <w:bottom w:w="0" w:type="dxa"/>
            <w:right w:w="108" w:type="dxa"/>
          </w:tblCellMar>
        </w:tblPrEx>
        <w:trPr>
          <w:trHeight w:val="1125"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2026-2035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污水处理厂</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污水处理厂提标改造，再生水输水管网建设</w:t>
            </w:r>
          </w:p>
        </w:tc>
        <w:tc>
          <w:tcPr>
            <w:tcW w:w="3994" w:type="dxa"/>
            <w:tcBorders>
              <w:top w:val="single" w:color="000000" w:sz="4" w:space="0"/>
              <w:left w:val="nil"/>
              <w:bottom w:val="single" w:color="000000" w:sz="4" w:space="0"/>
              <w:right w:val="single" w:color="000000" w:sz="4" w:space="0"/>
            </w:tcBorders>
            <w:shd w:val="clear" w:color="auto" w:fill="auto"/>
            <w:vAlign w:val="center"/>
          </w:tcPr>
          <w:p>
            <w:pPr>
              <w:widowControl/>
              <w:spacing w:line="220" w:lineRule="exact"/>
              <w:ind w:firstLine="0" w:firstLineChars="0"/>
              <w:jc w:val="left"/>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巴中城区及县城污水处理厂污水排放改造提升，建设一批再生水供水管网，作为市政杂用、工业用水及河流生态补水；规划使用量1850万m</w:t>
            </w:r>
            <w:r>
              <w:rPr>
                <w:rFonts w:hint="default" w:ascii="Times New Roman" w:hAnsi="Times New Roman" w:cs="Times New Roman"/>
                <w:kern w:val="0"/>
                <w:sz w:val="18"/>
                <w:szCs w:val="18"/>
                <w:vertAlign w:val="superscript"/>
                <w:lang w:bidi="ar"/>
              </w:rPr>
              <w:t>3</w:t>
            </w:r>
            <w:r>
              <w:rPr>
                <w:rFonts w:hint="default" w:ascii="Times New Roman" w:hAnsi="Times New Roman" w:cs="Times New Roman"/>
                <w:kern w:val="0"/>
                <w:sz w:val="18"/>
                <w:szCs w:val="18"/>
                <w:lang w:bidi="ar"/>
              </w:rPr>
              <w:t>，折合5万t/d。</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储备</w:t>
            </w:r>
          </w:p>
        </w:tc>
      </w:tr>
      <w:tr>
        <w:tblPrEx>
          <w:tblCellMar>
            <w:top w:w="0" w:type="dxa"/>
            <w:left w:w="108" w:type="dxa"/>
            <w:bottom w:w="0" w:type="dxa"/>
            <w:right w:w="108" w:type="dxa"/>
          </w:tblCellMar>
        </w:tblPrEx>
        <w:trPr>
          <w:trHeight w:val="1125"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2026-2035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污水处理厂</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污水处理厂提标改造，再生水输水管网建设</w:t>
            </w:r>
          </w:p>
        </w:tc>
        <w:tc>
          <w:tcPr>
            <w:tcW w:w="3994" w:type="dxa"/>
            <w:tcBorders>
              <w:top w:val="single" w:color="000000" w:sz="4" w:space="0"/>
              <w:left w:val="nil"/>
              <w:bottom w:val="single" w:color="000000" w:sz="4" w:space="0"/>
              <w:right w:val="single" w:color="000000" w:sz="4" w:space="0"/>
            </w:tcBorders>
            <w:shd w:val="clear" w:color="auto" w:fill="auto"/>
            <w:vAlign w:val="center"/>
          </w:tcPr>
          <w:p>
            <w:pPr>
              <w:widowControl/>
              <w:spacing w:line="220" w:lineRule="exact"/>
              <w:ind w:firstLine="0" w:firstLineChars="0"/>
              <w:jc w:val="left"/>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巴州城区再生水厂远期规模为6万m</w:t>
            </w:r>
            <w:r>
              <w:rPr>
                <w:rFonts w:hint="default" w:ascii="Times New Roman" w:hAnsi="Times New Roman" w:cs="Times New Roman"/>
                <w:kern w:val="0"/>
                <w:sz w:val="18"/>
                <w:szCs w:val="18"/>
                <w:vertAlign w:val="superscript"/>
                <w:lang w:bidi="ar"/>
              </w:rPr>
              <w:t>3</w:t>
            </w:r>
            <w:r>
              <w:rPr>
                <w:rFonts w:hint="default" w:ascii="Times New Roman" w:hAnsi="Times New Roman" w:cs="Times New Roman"/>
                <w:kern w:val="0"/>
                <w:sz w:val="18"/>
                <w:szCs w:val="18"/>
                <w:lang w:bidi="ar"/>
              </w:rPr>
              <w:t>/d，地址位于巴州区污水厂附近；恩阳新区再生水厂远期规模为2.4万m</w:t>
            </w:r>
            <w:r>
              <w:rPr>
                <w:rFonts w:hint="default" w:ascii="Times New Roman" w:hAnsi="Times New Roman" w:cs="Times New Roman"/>
                <w:kern w:val="0"/>
                <w:sz w:val="18"/>
                <w:szCs w:val="18"/>
                <w:vertAlign w:val="superscript"/>
                <w:lang w:bidi="ar"/>
              </w:rPr>
              <w:t>3</w:t>
            </w:r>
            <w:r>
              <w:rPr>
                <w:rFonts w:hint="default" w:ascii="Times New Roman" w:hAnsi="Times New Roman" w:cs="Times New Roman"/>
                <w:kern w:val="0"/>
                <w:sz w:val="18"/>
                <w:szCs w:val="18"/>
                <w:lang w:bidi="ar"/>
              </w:rPr>
              <w:t>/d，地址位于恩阳污水厂附近；兴文片区再生水厂远期规模为1.2万m</w:t>
            </w:r>
            <w:r>
              <w:rPr>
                <w:rFonts w:hint="default" w:ascii="Times New Roman" w:hAnsi="Times New Roman" w:cs="Times New Roman"/>
                <w:kern w:val="0"/>
                <w:sz w:val="18"/>
                <w:szCs w:val="18"/>
                <w:vertAlign w:val="superscript"/>
                <w:lang w:bidi="ar"/>
              </w:rPr>
              <w:t>3</w:t>
            </w:r>
            <w:r>
              <w:rPr>
                <w:rFonts w:hint="default" w:ascii="Times New Roman" w:hAnsi="Times New Roman" w:cs="Times New Roman"/>
                <w:kern w:val="0"/>
                <w:sz w:val="18"/>
                <w:szCs w:val="18"/>
                <w:lang w:bidi="ar"/>
              </w:rPr>
              <w:t>/d，地址位于兴文污水厂附近；清江片区再生水厂远期规模为1.2万m</w:t>
            </w:r>
            <w:r>
              <w:rPr>
                <w:rFonts w:hint="default" w:ascii="Times New Roman" w:hAnsi="Times New Roman" w:cs="Times New Roman"/>
                <w:kern w:val="0"/>
                <w:sz w:val="18"/>
                <w:szCs w:val="18"/>
                <w:vertAlign w:val="superscript"/>
                <w:lang w:bidi="ar"/>
              </w:rPr>
              <w:t>3</w:t>
            </w:r>
            <w:r>
              <w:rPr>
                <w:rFonts w:hint="default" w:ascii="Times New Roman" w:hAnsi="Times New Roman" w:cs="Times New Roman"/>
                <w:kern w:val="0"/>
                <w:sz w:val="18"/>
                <w:szCs w:val="18"/>
                <w:lang w:bidi="ar"/>
              </w:rPr>
              <w:t>/d，地址位于清江污水厂附近。规划再生水远期年可利用量约4000万立方米，规划供绿化用水、道路广场浇洒、其余市政杂用水，并供河湖生态及景观补水。达到污水再生水率25%要求。</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储备</w:t>
            </w:r>
          </w:p>
        </w:tc>
      </w:tr>
    </w:tbl>
    <w:p>
      <w:pPr>
        <w:numPr>
          <w:ilvl w:val="255"/>
          <w:numId w:val="0"/>
        </w:numPr>
        <w:rPr>
          <w:rFonts w:hint="default" w:ascii="Times New Roman" w:hAnsi="Times New Roman" w:cs="Times New Roman"/>
        </w:rPr>
      </w:pPr>
    </w:p>
    <w:p>
      <w:pPr>
        <w:pStyle w:val="4"/>
        <w:keepNext w:val="0"/>
        <w:keepLines w:val="0"/>
        <w:widowControl/>
        <w:snapToGrid w:val="0"/>
        <w:spacing w:before="156" w:beforeLines="50" w:after="156" w:afterLines="50" w:line="580" w:lineRule="exact"/>
        <w:jc w:val="center"/>
        <w:rPr>
          <w:rFonts w:hint="default" w:ascii="Times New Roman" w:hAnsi="Times New Roman" w:eastAsia="黑体" w:cs="Times New Roman"/>
          <w:b w:val="0"/>
          <w:bCs w:val="0"/>
          <w:color w:val="auto"/>
          <w:sz w:val="36"/>
          <w:szCs w:val="36"/>
        </w:rPr>
        <w:sectPr>
          <w:pgSz w:w="11906" w:h="16838"/>
          <w:pgMar w:top="1587" w:right="1587" w:bottom="1587" w:left="1588" w:header="851" w:footer="992" w:gutter="0"/>
          <w:cols w:space="425" w:num="1"/>
          <w:docGrid w:type="lines" w:linePitch="312" w:charSpace="0"/>
        </w:sectPr>
      </w:pPr>
      <w:bookmarkStart w:id="213" w:name="_Toc22901"/>
      <w:bookmarkStart w:id="214" w:name="_Toc25463"/>
      <w:bookmarkStart w:id="215" w:name="_Toc15210"/>
      <w:bookmarkStart w:id="216" w:name="_Toc13496"/>
      <w:bookmarkStart w:id="217" w:name="_Toc11840"/>
      <w:bookmarkStart w:id="218" w:name="_Toc282"/>
      <w:bookmarkStart w:id="219" w:name="_Toc2265"/>
      <w:bookmarkStart w:id="220" w:name="_Toc30307"/>
    </w:p>
    <w:p>
      <w:pPr>
        <w:pStyle w:val="4"/>
        <w:keepNext w:val="0"/>
        <w:keepLines w:val="0"/>
        <w:pageBreakBefore w:val="0"/>
        <w:widowControl/>
        <w:kinsoku/>
        <w:wordWrap/>
        <w:overflowPunct/>
        <w:topLinePunct w:val="0"/>
        <w:autoSpaceDE/>
        <w:autoSpaceDN/>
        <w:bidi w:val="0"/>
        <w:adjustRightInd/>
        <w:snapToGrid w:val="0"/>
        <w:spacing w:before="0" w:after="0" w:line="560" w:lineRule="exact"/>
        <w:ind w:left="0" w:leftChars="0" w:firstLine="640" w:firstLineChars="200"/>
        <w:jc w:val="both"/>
        <w:textAlignment w:val="auto"/>
        <w:rPr>
          <w:rFonts w:hint="eastAsia" w:ascii="黑体" w:hAnsi="黑体" w:eastAsia="黑体" w:cs="黑体"/>
          <w:b w:val="0"/>
          <w:bCs w:val="0"/>
          <w:color w:val="auto"/>
          <w:sz w:val="32"/>
          <w:szCs w:val="32"/>
        </w:rPr>
      </w:pPr>
      <w:bookmarkStart w:id="221" w:name="_Toc28535"/>
      <w:bookmarkStart w:id="222" w:name="_Toc22463"/>
      <w:bookmarkStart w:id="223" w:name="_Toc8400"/>
      <w:bookmarkStart w:id="224" w:name="_Toc100673823"/>
      <w:bookmarkStart w:id="225" w:name="_Toc17954"/>
      <w:r>
        <w:rPr>
          <w:rFonts w:hint="eastAsia" w:ascii="黑体" w:hAnsi="黑体" w:eastAsia="黑体" w:cs="黑体"/>
          <w:b w:val="0"/>
          <w:bCs w:val="0"/>
          <w:color w:val="auto"/>
          <w:sz w:val="32"/>
          <w:szCs w:val="32"/>
        </w:rPr>
        <w:t>六、投资估算与</w:t>
      </w:r>
      <w:bookmarkEnd w:id="213"/>
      <w:bookmarkEnd w:id="214"/>
      <w:bookmarkEnd w:id="215"/>
      <w:bookmarkEnd w:id="216"/>
      <w:bookmarkEnd w:id="217"/>
      <w:bookmarkEnd w:id="218"/>
      <w:bookmarkEnd w:id="219"/>
      <w:bookmarkStart w:id="226" w:name="_Toc16122"/>
      <w:r>
        <w:rPr>
          <w:rFonts w:hint="eastAsia" w:ascii="黑体" w:hAnsi="黑体" w:eastAsia="黑体" w:cs="黑体"/>
          <w:b w:val="0"/>
          <w:bCs w:val="0"/>
          <w:color w:val="auto"/>
          <w:sz w:val="32"/>
          <w:szCs w:val="32"/>
        </w:rPr>
        <w:t>资金筹措</w:t>
      </w:r>
      <w:bookmarkEnd w:id="220"/>
      <w:bookmarkEnd w:id="221"/>
      <w:bookmarkEnd w:id="222"/>
      <w:bookmarkEnd w:id="223"/>
      <w:bookmarkEnd w:id="224"/>
      <w:bookmarkEnd w:id="225"/>
    </w:p>
    <w:p>
      <w:pPr>
        <w:pStyle w:val="5"/>
        <w:keepNext w:val="0"/>
        <w:keepLines w:val="0"/>
        <w:pageBreakBefore w:val="0"/>
        <w:kinsoku/>
        <w:wordWrap/>
        <w:overflowPunct/>
        <w:topLinePunct w:val="0"/>
        <w:autoSpaceDE/>
        <w:autoSpaceDN/>
        <w:bidi w:val="0"/>
        <w:adjustRightInd/>
        <w:spacing w:line="560" w:lineRule="exact"/>
        <w:ind w:left="0" w:leftChars="0" w:firstLine="643" w:firstLineChars="200"/>
        <w:jc w:val="both"/>
        <w:textAlignment w:val="auto"/>
        <w:rPr>
          <w:rFonts w:hint="eastAsia" w:ascii="楷体_GB2312" w:hAnsi="楷体_GB2312" w:eastAsia="楷体_GB2312" w:cs="楷体_GB2312"/>
          <w:color w:val="auto"/>
          <w:sz w:val="32"/>
          <w:szCs w:val="32"/>
        </w:rPr>
      </w:pPr>
      <w:bookmarkStart w:id="227" w:name="_Toc7576"/>
      <w:bookmarkStart w:id="228" w:name="_Toc4503"/>
      <w:bookmarkStart w:id="229" w:name="_Toc18327"/>
      <w:bookmarkStart w:id="230" w:name="_Toc3332"/>
      <w:bookmarkStart w:id="231" w:name="_Toc15149"/>
      <w:bookmarkStart w:id="232" w:name="_Toc4731"/>
      <w:bookmarkStart w:id="233" w:name="_Toc9654"/>
      <w:bookmarkStart w:id="234" w:name="_Toc100673824"/>
      <w:bookmarkStart w:id="235" w:name="_Toc3132"/>
      <w:bookmarkStart w:id="236" w:name="_Toc125"/>
      <w:bookmarkStart w:id="237" w:name="_Toc32421"/>
      <w:bookmarkStart w:id="238" w:name="_Toc17346"/>
      <w:r>
        <w:rPr>
          <w:rFonts w:hint="eastAsia" w:ascii="楷体_GB2312" w:hAnsi="楷体_GB2312" w:eastAsia="楷体_GB2312" w:cs="楷体_GB2312"/>
          <w:color w:val="auto"/>
          <w:sz w:val="32"/>
          <w:szCs w:val="32"/>
        </w:rPr>
        <w:t>（一）投资估算</w:t>
      </w:r>
      <w:bookmarkEnd w:id="226"/>
      <w:bookmarkEnd w:id="227"/>
      <w:bookmarkEnd w:id="228"/>
      <w:bookmarkEnd w:id="229"/>
      <w:bookmarkEnd w:id="230"/>
      <w:bookmarkEnd w:id="231"/>
      <w:bookmarkEnd w:id="232"/>
      <w:bookmarkEnd w:id="233"/>
      <w:bookmarkEnd w:id="234"/>
      <w:bookmarkEnd w:id="235"/>
      <w:bookmarkEnd w:id="236"/>
      <w:bookmarkEnd w:id="237"/>
      <w:bookmarkEnd w:id="238"/>
    </w:p>
    <w:p>
      <w:pPr>
        <w:pageBreakBefore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投资概算主要执行四川省水利厅现行有关规定、办法、定额、费率标准等，以现行价格水平并参照近期已建或在建工程指标进行分析计算，部分工程投资利用已有规划成果，同时整合农业、林业、国土、建设、环保、水利等行业节水相关项目。</w:t>
      </w:r>
    </w:p>
    <w:p>
      <w:pPr>
        <w:pageBreakBefore w:val="0"/>
        <w:numPr>
          <w:ilvl w:val="0"/>
          <w:numId w:val="6"/>
        </w:numPr>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四川省水利厅关于颁发《四川省水利水电工程设计概（估）算编制规定》的通知（川水发〔2015〕9号）</w:t>
      </w:r>
    </w:p>
    <w:p>
      <w:pPr>
        <w:pageBreakBefore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（2）四川省水利厅关于颁发《四川省水利水电建筑工程预算定额》的通知（川水发〔2007〕20号）</w:t>
      </w:r>
    </w:p>
    <w:p>
      <w:pPr>
        <w:pageBreakBefore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（3）水利部关于发布《水利水电设备安装工程概算定额》的通知（水建管〔1999〕523号）</w:t>
      </w:r>
    </w:p>
    <w:p>
      <w:pPr>
        <w:pageBreakBefore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（4）水利部关于颁发《水利工程施工机械台时费定额》的通知（水总〔2002〕116号）</w:t>
      </w:r>
    </w:p>
    <w:p>
      <w:pPr>
        <w:pageBreakBefore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（5）水利部颁发的《水利水电设备安装工程概算定额》（水建管〔1999〕523号）</w:t>
      </w:r>
    </w:p>
    <w:p>
      <w:pPr>
        <w:pageBreakBefore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（6）四川省水利厅关于印发《增值税税率调整后&lt;四川省水利水电工程设计概（估）算编制规定&gt;相应调整办法》的通知（川水函〔2019〕610号）</w:t>
      </w:r>
    </w:p>
    <w:p>
      <w:pPr>
        <w:pageBreakBefore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（7）《建设工程工程量清单计价规范》（GB50500-2013）</w:t>
      </w:r>
    </w:p>
    <w:p>
      <w:pPr>
        <w:pageBreakBefore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（8）《市政工程投资估算指标》（2007年版）</w:t>
      </w:r>
    </w:p>
    <w:p>
      <w:pPr>
        <w:pageBreakBefore w:val="0"/>
        <w:numPr>
          <w:ilvl w:val="0"/>
          <w:numId w:val="7"/>
        </w:numPr>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《四川省建设工程造价信息》</w:t>
      </w:r>
    </w:p>
    <w:p>
      <w:pPr>
        <w:pageBreakBefore w:val="0"/>
        <w:numPr>
          <w:ilvl w:val="0"/>
          <w:numId w:val="8"/>
        </w:numPr>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《市政公用工程设计文件编制深度规定（2013年）》</w:t>
      </w:r>
    </w:p>
    <w:p>
      <w:pPr>
        <w:pageBreakBefore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（11）《投资项目可行性研究指南（试用版）（2002年）》</w:t>
      </w:r>
    </w:p>
    <w:p>
      <w:pPr>
        <w:pageBreakBefore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（12）规划阶段重点工程图纸和工程量</w:t>
      </w:r>
    </w:p>
    <w:p>
      <w:pPr>
        <w:pageBreakBefore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其它费用计算执行建设部建标〔2007〕164号有关规定。</w:t>
      </w:r>
    </w:p>
    <w:p>
      <w:pPr>
        <w:pStyle w:val="5"/>
        <w:keepNext w:val="0"/>
        <w:keepLines w:val="0"/>
        <w:pageBreakBefore w:val="0"/>
        <w:kinsoku/>
        <w:wordWrap/>
        <w:overflowPunct/>
        <w:topLinePunct w:val="0"/>
        <w:autoSpaceDE/>
        <w:autoSpaceDN/>
        <w:bidi w:val="0"/>
        <w:adjustRightInd/>
        <w:spacing w:line="560" w:lineRule="exact"/>
        <w:ind w:left="0" w:leftChars="0" w:firstLine="643" w:firstLineChars="200"/>
        <w:jc w:val="both"/>
        <w:textAlignment w:val="auto"/>
        <w:rPr>
          <w:rFonts w:hint="default" w:ascii="楷体_GB2312" w:hAnsi="楷体_GB2312" w:eastAsia="楷体_GB2312" w:cs="楷体_GB2312"/>
          <w:color w:val="auto"/>
          <w:sz w:val="32"/>
          <w:szCs w:val="32"/>
        </w:rPr>
      </w:pPr>
      <w:bookmarkStart w:id="239" w:name="_Toc18312"/>
      <w:bookmarkStart w:id="240" w:name="_Toc100673825"/>
      <w:bookmarkStart w:id="241" w:name="_Toc14425"/>
      <w:bookmarkStart w:id="242" w:name="_Toc25280"/>
      <w:bookmarkStart w:id="243" w:name="_Toc15596"/>
      <w:bookmarkStart w:id="244" w:name="_Toc653"/>
      <w:bookmarkStart w:id="245" w:name="_Toc25877"/>
      <w:bookmarkStart w:id="246" w:name="_Toc25385"/>
      <w:bookmarkStart w:id="247" w:name="_Toc19045"/>
      <w:bookmarkStart w:id="248" w:name="_Toc23461"/>
      <w:bookmarkStart w:id="249" w:name="_Toc26693"/>
      <w:bookmarkStart w:id="250" w:name="_Toc11457"/>
      <w:bookmarkStart w:id="251" w:name="_Toc29282"/>
      <w:r>
        <w:rPr>
          <w:rFonts w:hint="default" w:ascii="楷体_GB2312" w:hAnsi="楷体_GB2312" w:eastAsia="楷体_GB2312" w:cs="楷体_GB2312"/>
          <w:color w:val="auto"/>
          <w:sz w:val="32"/>
          <w:szCs w:val="32"/>
        </w:rPr>
        <w:t>（二）资金筹措</w:t>
      </w:r>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6"/>
        <w:pageBreakBefore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巴中市节水型社会建设规划涉及全社会、各行业，涉及面广，任务重，因此需要加大地方财政支持力度，通过整合农业、林业、自然资源、建设、环保、水利等部门财政专项项目资金，辅以向社会、企业、个人筹资等三种方式解决。本次规划资金筹措坚持中央、地方、各部门和受益群体共同负担的原则，通过争取中央资金、加大市县投入、整合各类资金渠道，同时鼓励和引导社会资金投入节水建设与运行维护，努力吸引民营资本、发动协会和受益群体筹资投劳、采取PPP、BOT等方式拓展投资渠道，以项目带动资金注入的方式，拓宽节水重点任务资金渠道，破解资金瓶颈。</w:t>
      </w:r>
      <w:bookmarkStart w:id="252" w:name="_Toc31292"/>
      <w:bookmarkStart w:id="253" w:name="_Toc10470"/>
      <w:bookmarkStart w:id="254" w:name="_Toc17080"/>
      <w:bookmarkStart w:id="255" w:name="_Toc22844"/>
    </w:p>
    <w:p>
      <w:pPr>
        <w:pStyle w:val="6"/>
        <w:pageBreakBefore w:val="0"/>
        <w:kinsoku/>
        <w:wordWrap/>
        <w:overflowPunct/>
        <w:topLinePunct w:val="0"/>
        <w:autoSpaceDE/>
        <w:autoSpaceDN/>
        <w:bidi w:val="0"/>
        <w:adjustRightInd/>
        <w:spacing w:line="560" w:lineRule="exact"/>
        <w:ind w:left="0" w:lef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投资估算表：</w:t>
      </w:r>
    </w:p>
    <w:p>
      <w:pPr>
        <w:pageBreakBefore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巴中市节水型社会建设规划基准年为2020年，近期规划年2025年，远期规划年2035年。主要包含农业节水重点工程、工业节水重点工程、城镇节水重点工程、非常规水资源利用及节水管理项目等。一是农业节水，要求坚持以水定地、推广节水灌溉、促进畜牧渔业节水、推进农村生活节水、深化农业水价改革。二是工业节水，要求坚持以水定产、推进工业节水减污、开展节水型工业园区建设。三是城镇节水，要求坚持以水定城、推进节水型城市建设、开展高耗水服务业节水和公共领域节水。四是非常规水源利用，要求加强非常规水源配置、推进污水资源化利用、加强雨水等非常水资源集蓄利用规模。巴中市近远期各行业节约用水规划工程投资估算见下表：</w:t>
      </w:r>
    </w:p>
    <w:p>
      <w:pPr>
        <w:pStyle w:val="32"/>
        <w:ind w:firstLine="0" w:firstLineChars="0"/>
        <w:jc w:val="center"/>
        <w:rPr>
          <w:rFonts w:hint="default" w:ascii="Times New Roman" w:hAnsi="Times New Roman" w:eastAsia="黑体" w:cs="Times New Roman"/>
          <w:b w:val="0"/>
          <w:sz w:val="24"/>
          <w:szCs w:val="24"/>
        </w:rPr>
      </w:pPr>
      <w:r>
        <w:rPr>
          <w:rFonts w:hint="default" w:ascii="Times New Roman" w:hAnsi="Times New Roman" w:eastAsia="黑体" w:cs="Times New Roman"/>
          <w:b w:val="0"/>
          <w:sz w:val="24"/>
          <w:szCs w:val="24"/>
        </w:rPr>
        <w:t>表6.1  巴中市节水型社会建设规划主要规划工程投资估算表</w:t>
      </w:r>
    </w:p>
    <w:p>
      <w:pPr>
        <w:ind w:firstLine="7440" w:firstLineChars="3100"/>
        <w:rPr>
          <w:rFonts w:hint="default" w:ascii="Times New Roman" w:hAnsi="Times New Roman" w:cs="Times New Roman"/>
          <w:sz w:val="24"/>
          <w:szCs w:val="24"/>
        </w:rPr>
      </w:pPr>
      <w:r>
        <w:rPr>
          <w:rFonts w:hint="default" w:ascii="Times New Roman" w:hAnsi="Times New Roman" w:cs="Times New Roman"/>
          <w:sz w:val="24"/>
          <w:szCs w:val="24"/>
        </w:rPr>
        <w:t>单位：亿元</w:t>
      </w:r>
    </w:p>
    <w:tbl>
      <w:tblPr>
        <w:tblStyle w:val="18"/>
        <w:tblW w:w="9156" w:type="dxa"/>
        <w:tblInd w:w="0" w:type="dxa"/>
        <w:tblLayout w:type="fixed"/>
        <w:tblCellMar>
          <w:top w:w="0" w:type="dxa"/>
          <w:left w:w="108" w:type="dxa"/>
          <w:bottom w:w="0" w:type="dxa"/>
          <w:right w:w="108" w:type="dxa"/>
        </w:tblCellMar>
      </w:tblPr>
      <w:tblGrid>
        <w:gridCol w:w="681"/>
        <w:gridCol w:w="647"/>
        <w:gridCol w:w="2170"/>
        <w:gridCol w:w="793"/>
        <w:gridCol w:w="777"/>
        <w:gridCol w:w="777"/>
        <w:gridCol w:w="842"/>
        <w:gridCol w:w="922"/>
        <w:gridCol w:w="793"/>
        <w:gridCol w:w="754"/>
      </w:tblGrid>
      <w:tr>
        <w:tblPrEx>
          <w:tblCellMar>
            <w:top w:w="0" w:type="dxa"/>
            <w:left w:w="108" w:type="dxa"/>
            <w:bottom w:w="0" w:type="dxa"/>
            <w:right w:w="108" w:type="dxa"/>
          </w:tblCellMar>
        </w:tblPrEx>
        <w:trPr>
          <w:trHeight w:val="378" w:hRule="atLeast"/>
          <w:tblHeader/>
        </w:trPr>
        <w:tc>
          <w:tcPr>
            <w:tcW w:w="68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b/>
                <w:bCs/>
                <w:sz w:val="18"/>
                <w:szCs w:val="18"/>
              </w:rPr>
            </w:pPr>
            <w:r>
              <w:rPr>
                <w:rFonts w:hint="default" w:ascii="Times New Roman" w:hAnsi="Times New Roman" w:eastAsia="宋体" w:cs="Times New Roman"/>
                <w:b/>
                <w:bCs/>
                <w:kern w:val="0"/>
                <w:sz w:val="18"/>
                <w:szCs w:val="18"/>
                <w:lang w:bidi="ar"/>
              </w:rPr>
              <w:t>年份</w:t>
            </w:r>
          </w:p>
        </w:tc>
        <w:tc>
          <w:tcPr>
            <w:tcW w:w="281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b/>
                <w:bCs/>
                <w:sz w:val="18"/>
                <w:szCs w:val="18"/>
              </w:rPr>
            </w:pPr>
            <w:r>
              <w:rPr>
                <w:rFonts w:hint="default" w:ascii="Times New Roman" w:hAnsi="Times New Roman" w:eastAsia="宋体" w:cs="Times New Roman"/>
                <w:b/>
                <w:bCs/>
                <w:kern w:val="0"/>
                <w:sz w:val="18"/>
                <w:szCs w:val="18"/>
                <w:lang w:bidi="ar"/>
              </w:rPr>
              <w:t>重点任务</w:t>
            </w:r>
          </w:p>
        </w:tc>
        <w:tc>
          <w:tcPr>
            <w:tcW w:w="7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b/>
                <w:bCs/>
                <w:sz w:val="18"/>
                <w:szCs w:val="18"/>
              </w:rPr>
            </w:pPr>
            <w:r>
              <w:rPr>
                <w:rFonts w:hint="default" w:ascii="Times New Roman" w:hAnsi="Times New Roman" w:eastAsia="宋体" w:cs="Times New Roman"/>
                <w:b/>
                <w:bCs/>
                <w:kern w:val="0"/>
                <w:sz w:val="18"/>
                <w:szCs w:val="18"/>
                <w:lang w:bidi="ar"/>
              </w:rPr>
              <w:t>市本级</w:t>
            </w:r>
          </w:p>
        </w:tc>
        <w:tc>
          <w:tcPr>
            <w:tcW w:w="77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b/>
                <w:bCs/>
                <w:sz w:val="18"/>
                <w:szCs w:val="18"/>
              </w:rPr>
            </w:pPr>
            <w:r>
              <w:rPr>
                <w:rFonts w:hint="default" w:ascii="Times New Roman" w:hAnsi="Times New Roman" w:eastAsia="宋体" w:cs="Times New Roman"/>
                <w:b/>
                <w:bCs/>
                <w:kern w:val="0"/>
                <w:sz w:val="18"/>
                <w:szCs w:val="18"/>
                <w:lang w:bidi="ar"/>
              </w:rPr>
              <w:t>巴州区</w:t>
            </w:r>
          </w:p>
        </w:tc>
        <w:tc>
          <w:tcPr>
            <w:tcW w:w="77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b/>
                <w:bCs/>
                <w:sz w:val="18"/>
                <w:szCs w:val="18"/>
              </w:rPr>
            </w:pPr>
            <w:r>
              <w:rPr>
                <w:rFonts w:hint="default" w:ascii="Times New Roman" w:hAnsi="Times New Roman" w:eastAsia="宋体" w:cs="Times New Roman"/>
                <w:b/>
                <w:bCs/>
                <w:kern w:val="0"/>
                <w:sz w:val="18"/>
                <w:szCs w:val="18"/>
                <w:lang w:bidi="ar"/>
              </w:rPr>
              <w:t>恩阳区</w:t>
            </w:r>
          </w:p>
        </w:tc>
        <w:tc>
          <w:tcPr>
            <w:tcW w:w="84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b/>
                <w:bCs/>
                <w:sz w:val="18"/>
                <w:szCs w:val="18"/>
              </w:rPr>
            </w:pPr>
            <w:r>
              <w:rPr>
                <w:rFonts w:hint="default" w:ascii="Times New Roman" w:hAnsi="Times New Roman" w:eastAsia="宋体" w:cs="Times New Roman"/>
                <w:b/>
                <w:bCs/>
                <w:kern w:val="0"/>
                <w:sz w:val="18"/>
                <w:szCs w:val="18"/>
                <w:lang w:bidi="ar"/>
              </w:rPr>
              <w:t>南江县</w:t>
            </w:r>
          </w:p>
        </w:tc>
        <w:tc>
          <w:tcPr>
            <w:tcW w:w="92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b/>
                <w:bCs/>
                <w:sz w:val="18"/>
                <w:szCs w:val="18"/>
              </w:rPr>
            </w:pPr>
            <w:r>
              <w:rPr>
                <w:rFonts w:hint="default" w:ascii="Times New Roman" w:hAnsi="Times New Roman" w:eastAsia="宋体" w:cs="Times New Roman"/>
                <w:b/>
                <w:bCs/>
                <w:kern w:val="0"/>
                <w:sz w:val="18"/>
                <w:szCs w:val="18"/>
                <w:lang w:bidi="ar"/>
              </w:rPr>
              <w:t>通江县</w:t>
            </w:r>
          </w:p>
        </w:tc>
        <w:tc>
          <w:tcPr>
            <w:tcW w:w="7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b/>
                <w:bCs/>
                <w:sz w:val="18"/>
                <w:szCs w:val="18"/>
              </w:rPr>
            </w:pPr>
            <w:r>
              <w:rPr>
                <w:rFonts w:hint="default" w:ascii="Times New Roman" w:hAnsi="Times New Roman" w:eastAsia="宋体" w:cs="Times New Roman"/>
                <w:b/>
                <w:bCs/>
                <w:kern w:val="0"/>
                <w:sz w:val="18"/>
                <w:szCs w:val="18"/>
                <w:lang w:bidi="ar"/>
              </w:rPr>
              <w:t>平昌县</w:t>
            </w:r>
          </w:p>
        </w:tc>
        <w:tc>
          <w:tcPr>
            <w:tcW w:w="75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b/>
                <w:bCs/>
                <w:kern w:val="0"/>
                <w:sz w:val="18"/>
                <w:szCs w:val="18"/>
                <w:lang w:bidi="ar"/>
              </w:rPr>
            </w:pPr>
            <w:r>
              <w:rPr>
                <w:rFonts w:hint="default" w:ascii="Times New Roman" w:hAnsi="Times New Roman" w:eastAsia="宋体" w:cs="Times New Roman"/>
                <w:b/>
                <w:bCs/>
                <w:kern w:val="0"/>
                <w:sz w:val="18"/>
                <w:szCs w:val="18"/>
                <w:lang w:bidi="ar"/>
              </w:rPr>
              <w:t>合计</w:t>
            </w:r>
          </w:p>
        </w:tc>
      </w:tr>
      <w:tr>
        <w:tblPrEx>
          <w:tblCellMar>
            <w:top w:w="0" w:type="dxa"/>
            <w:left w:w="108" w:type="dxa"/>
            <w:bottom w:w="0" w:type="dxa"/>
            <w:right w:w="108" w:type="dxa"/>
          </w:tblCellMar>
        </w:tblPrEx>
        <w:trPr>
          <w:trHeight w:val="664" w:hRule="atLeast"/>
        </w:trPr>
        <w:tc>
          <w:tcPr>
            <w:tcW w:w="68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sz w:val="18"/>
                <w:szCs w:val="18"/>
              </w:rPr>
            </w:pPr>
            <w:r>
              <w:rPr>
                <w:rFonts w:hint="default" w:ascii="Times New Roman" w:hAnsi="Times New Roman" w:eastAsia="宋体" w:cs="Times New Roman"/>
                <w:kern w:val="0"/>
                <w:sz w:val="18"/>
                <w:szCs w:val="18"/>
                <w:lang w:bidi="ar"/>
              </w:rPr>
              <w:t>近期</w:t>
            </w:r>
          </w:p>
        </w:tc>
        <w:tc>
          <w:tcPr>
            <w:tcW w:w="647"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sz w:val="18"/>
                <w:szCs w:val="18"/>
              </w:rPr>
            </w:pPr>
            <w:r>
              <w:rPr>
                <w:rFonts w:hint="default" w:ascii="Times New Roman" w:hAnsi="Times New Roman" w:eastAsia="宋体" w:cs="Times New Roman"/>
                <w:kern w:val="0"/>
                <w:sz w:val="18"/>
                <w:szCs w:val="18"/>
                <w:lang w:bidi="ar"/>
              </w:rPr>
              <w:t>农业节水重点工程</w:t>
            </w:r>
          </w:p>
        </w:tc>
        <w:tc>
          <w:tcPr>
            <w:tcW w:w="2170"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kern w:val="0"/>
                <w:sz w:val="18"/>
                <w:szCs w:val="18"/>
                <w:lang w:bidi="ar"/>
              </w:rPr>
              <w:t>灌区续建配套与节水改造</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0.00</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3.17</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0.36</w:t>
            </w:r>
          </w:p>
        </w:tc>
        <w:tc>
          <w:tcPr>
            <w:tcW w:w="84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1.41</w:t>
            </w:r>
          </w:p>
        </w:tc>
        <w:tc>
          <w:tcPr>
            <w:tcW w:w="92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1.05</w:t>
            </w:r>
          </w:p>
        </w:tc>
        <w:tc>
          <w:tcPr>
            <w:tcW w:w="7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1.11</w:t>
            </w:r>
          </w:p>
        </w:tc>
        <w:tc>
          <w:tcPr>
            <w:tcW w:w="75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7.10</w:t>
            </w:r>
          </w:p>
        </w:tc>
      </w:tr>
      <w:tr>
        <w:tblPrEx>
          <w:tblCellMar>
            <w:top w:w="0" w:type="dxa"/>
            <w:left w:w="108" w:type="dxa"/>
            <w:bottom w:w="0" w:type="dxa"/>
            <w:right w:w="108" w:type="dxa"/>
          </w:tblCellMar>
        </w:tblPrEx>
        <w:trPr>
          <w:trHeight w:val="90" w:hRule="atLeast"/>
        </w:trPr>
        <w:tc>
          <w:tcPr>
            <w:tcW w:w="681"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300" w:lineRule="exact"/>
              <w:ind w:firstLine="360"/>
              <w:jc w:val="center"/>
              <w:rPr>
                <w:rFonts w:hint="default" w:ascii="Times New Roman" w:hAnsi="Times New Roman" w:eastAsia="宋体" w:cs="Times New Roman"/>
                <w:sz w:val="18"/>
                <w:szCs w:val="18"/>
              </w:rPr>
            </w:pPr>
          </w:p>
        </w:tc>
        <w:tc>
          <w:tcPr>
            <w:tcW w:w="647"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300" w:lineRule="exact"/>
              <w:ind w:firstLine="360"/>
              <w:jc w:val="center"/>
              <w:rPr>
                <w:rFonts w:hint="default" w:ascii="Times New Roman" w:hAnsi="Times New Roman" w:eastAsia="宋体" w:cs="Times New Roman"/>
                <w:sz w:val="18"/>
                <w:szCs w:val="18"/>
              </w:rPr>
            </w:pPr>
          </w:p>
        </w:tc>
        <w:tc>
          <w:tcPr>
            <w:tcW w:w="2170"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kern w:val="0"/>
                <w:sz w:val="18"/>
                <w:szCs w:val="18"/>
                <w:lang w:bidi="ar"/>
              </w:rPr>
              <w:t>现代农业园区建设</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0.00</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13.50</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18.50</w:t>
            </w:r>
          </w:p>
        </w:tc>
        <w:tc>
          <w:tcPr>
            <w:tcW w:w="84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1.50</w:t>
            </w:r>
          </w:p>
        </w:tc>
        <w:tc>
          <w:tcPr>
            <w:tcW w:w="92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3.90</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9.17</w:t>
            </w:r>
          </w:p>
        </w:tc>
        <w:tc>
          <w:tcPr>
            <w:tcW w:w="754"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46.57</w:t>
            </w:r>
          </w:p>
        </w:tc>
      </w:tr>
      <w:tr>
        <w:tblPrEx>
          <w:tblCellMar>
            <w:top w:w="0" w:type="dxa"/>
            <w:left w:w="108" w:type="dxa"/>
            <w:bottom w:w="0" w:type="dxa"/>
            <w:right w:w="108" w:type="dxa"/>
          </w:tblCellMar>
        </w:tblPrEx>
        <w:trPr>
          <w:trHeight w:val="372" w:hRule="atLeast"/>
        </w:trPr>
        <w:tc>
          <w:tcPr>
            <w:tcW w:w="681"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300" w:lineRule="exact"/>
              <w:ind w:firstLine="360"/>
              <w:jc w:val="center"/>
              <w:rPr>
                <w:rFonts w:hint="default" w:ascii="Times New Roman" w:hAnsi="Times New Roman" w:eastAsia="宋体" w:cs="Times New Roman"/>
                <w:sz w:val="18"/>
                <w:szCs w:val="18"/>
              </w:rPr>
            </w:pPr>
          </w:p>
        </w:tc>
        <w:tc>
          <w:tcPr>
            <w:tcW w:w="647"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300" w:lineRule="exact"/>
              <w:ind w:firstLine="360"/>
              <w:jc w:val="center"/>
              <w:rPr>
                <w:rFonts w:hint="default" w:ascii="Times New Roman" w:hAnsi="Times New Roman" w:eastAsia="宋体" w:cs="Times New Roman"/>
                <w:sz w:val="18"/>
                <w:szCs w:val="18"/>
              </w:rPr>
            </w:pPr>
          </w:p>
        </w:tc>
        <w:tc>
          <w:tcPr>
            <w:tcW w:w="2170"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kern w:val="0"/>
                <w:sz w:val="18"/>
                <w:szCs w:val="18"/>
                <w:lang w:bidi="ar"/>
              </w:rPr>
              <w:t>畜牧渔节水工程</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0.00</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5.50</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4.00</w:t>
            </w:r>
          </w:p>
        </w:tc>
        <w:tc>
          <w:tcPr>
            <w:tcW w:w="84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9.06</w:t>
            </w:r>
          </w:p>
        </w:tc>
        <w:tc>
          <w:tcPr>
            <w:tcW w:w="92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12.00</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3.00</w:t>
            </w:r>
          </w:p>
        </w:tc>
        <w:tc>
          <w:tcPr>
            <w:tcW w:w="754"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33.56</w:t>
            </w:r>
          </w:p>
        </w:tc>
      </w:tr>
      <w:tr>
        <w:tblPrEx>
          <w:tblCellMar>
            <w:top w:w="0" w:type="dxa"/>
            <w:left w:w="108" w:type="dxa"/>
            <w:bottom w:w="0" w:type="dxa"/>
            <w:right w:w="108" w:type="dxa"/>
          </w:tblCellMar>
        </w:tblPrEx>
        <w:trPr>
          <w:trHeight w:val="372" w:hRule="atLeast"/>
        </w:trPr>
        <w:tc>
          <w:tcPr>
            <w:tcW w:w="681"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300" w:lineRule="exact"/>
              <w:ind w:firstLine="360"/>
              <w:jc w:val="center"/>
              <w:rPr>
                <w:rFonts w:hint="default" w:ascii="Times New Roman" w:hAnsi="Times New Roman" w:eastAsia="宋体" w:cs="Times New Roman"/>
                <w:sz w:val="18"/>
                <w:szCs w:val="18"/>
              </w:rPr>
            </w:pPr>
          </w:p>
        </w:tc>
        <w:tc>
          <w:tcPr>
            <w:tcW w:w="647"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300" w:lineRule="exact"/>
              <w:ind w:firstLine="360"/>
              <w:jc w:val="center"/>
              <w:rPr>
                <w:rFonts w:hint="default" w:ascii="Times New Roman" w:hAnsi="Times New Roman" w:eastAsia="宋体" w:cs="Times New Roman"/>
                <w:sz w:val="18"/>
                <w:szCs w:val="18"/>
              </w:rPr>
            </w:pPr>
          </w:p>
        </w:tc>
        <w:tc>
          <w:tcPr>
            <w:tcW w:w="2170"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kern w:val="0"/>
                <w:sz w:val="18"/>
                <w:szCs w:val="18"/>
                <w:lang w:bidi="ar"/>
              </w:rPr>
              <w:t>农村生活节水</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7.50</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0.00</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0.00</w:t>
            </w:r>
          </w:p>
        </w:tc>
        <w:tc>
          <w:tcPr>
            <w:tcW w:w="84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0.00</w:t>
            </w:r>
          </w:p>
        </w:tc>
        <w:tc>
          <w:tcPr>
            <w:tcW w:w="92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0.00</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0.00</w:t>
            </w:r>
          </w:p>
        </w:tc>
        <w:tc>
          <w:tcPr>
            <w:tcW w:w="754"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7.50</w:t>
            </w:r>
          </w:p>
        </w:tc>
      </w:tr>
      <w:tr>
        <w:tblPrEx>
          <w:tblCellMar>
            <w:top w:w="0" w:type="dxa"/>
            <w:left w:w="108" w:type="dxa"/>
            <w:bottom w:w="0" w:type="dxa"/>
            <w:right w:w="108" w:type="dxa"/>
          </w:tblCellMar>
        </w:tblPrEx>
        <w:trPr>
          <w:trHeight w:val="356" w:hRule="atLeast"/>
        </w:trPr>
        <w:tc>
          <w:tcPr>
            <w:tcW w:w="681"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300" w:lineRule="exact"/>
              <w:ind w:firstLine="360"/>
              <w:jc w:val="center"/>
              <w:rPr>
                <w:rFonts w:hint="default" w:ascii="Times New Roman" w:hAnsi="Times New Roman" w:eastAsia="宋体" w:cs="Times New Roman"/>
                <w:sz w:val="18"/>
                <w:szCs w:val="18"/>
              </w:rPr>
            </w:pPr>
          </w:p>
        </w:tc>
        <w:tc>
          <w:tcPr>
            <w:tcW w:w="647"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kern w:val="0"/>
                <w:sz w:val="18"/>
                <w:szCs w:val="18"/>
                <w:highlight w:val="none"/>
                <w:lang w:bidi="ar"/>
              </w:rPr>
              <w:t>工业节水重点工程</w:t>
            </w:r>
          </w:p>
        </w:tc>
        <w:tc>
          <w:tcPr>
            <w:tcW w:w="2170"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left"/>
              <w:textAlignment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kern w:val="0"/>
                <w:sz w:val="18"/>
                <w:szCs w:val="18"/>
                <w:highlight w:val="none"/>
                <w:lang w:bidi="ar"/>
              </w:rPr>
              <w:t>食品饮料产业</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0.15</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0.009</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0.0198</w:t>
            </w:r>
          </w:p>
        </w:tc>
        <w:tc>
          <w:tcPr>
            <w:tcW w:w="84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0.135</w:t>
            </w:r>
          </w:p>
        </w:tc>
        <w:tc>
          <w:tcPr>
            <w:tcW w:w="92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0.01</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0.02</w:t>
            </w:r>
          </w:p>
        </w:tc>
        <w:tc>
          <w:tcPr>
            <w:tcW w:w="754"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0.3438</w:t>
            </w:r>
          </w:p>
        </w:tc>
      </w:tr>
      <w:tr>
        <w:tblPrEx>
          <w:tblCellMar>
            <w:top w:w="0" w:type="dxa"/>
            <w:left w:w="108" w:type="dxa"/>
            <w:bottom w:w="0" w:type="dxa"/>
            <w:right w:w="108" w:type="dxa"/>
          </w:tblCellMar>
        </w:tblPrEx>
        <w:trPr>
          <w:trHeight w:val="273" w:hRule="atLeast"/>
        </w:trPr>
        <w:tc>
          <w:tcPr>
            <w:tcW w:w="681"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300" w:lineRule="exact"/>
              <w:ind w:firstLine="360"/>
              <w:jc w:val="center"/>
              <w:rPr>
                <w:rFonts w:hint="default" w:ascii="Times New Roman" w:hAnsi="Times New Roman" w:eastAsia="宋体" w:cs="Times New Roman"/>
                <w:sz w:val="18"/>
                <w:szCs w:val="18"/>
              </w:rPr>
            </w:pPr>
          </w:p>
        </w:tc>
        <w:tc>
          <w:tcPr>
            <w:tcW w:w="647"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300" w:lineRule="exact"/>
              <w:ind w:firstLine="360"/>
              <w:jc w:val="center"/>
              <w:rPr>
                <w:rFonts w:hint="default" w:ascii="Times New Roman" w:hAnsi="Times New Roman" w:eastAsia="宋体" w:cs="Times New Roman"/>
                <w:sz w:val="18"/>
                <w:szCs w:val="18"/>
                <w:highlight w:val="none"/>
              </w:rPr>
            </w:pPr>
          </w:p>
        </w:tc>
        <w:tc>
          <w:tcPr>
            <w:tcW w:w="2170"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left"/>
              <w:textAlignment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kern w:val="0"/>
                <w:sz w:val="18"/>
                <w:szCs w:val="18"/>
                <w:highlight w:val="none"/>
                <w:lang w:bidi="ar"/>
              </w:rPr>
              <w:t>生物医药产业</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0.00</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0.01</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0.008</w:t>
            </w:r>
          </w:p>
        </w:tc>
        <w:tc>
          <w:tcPr>
            <w:tcW w:w="84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0.02</w:t>
            </w:r>
          </w:p>
        </w:tc>
        <w:tc>
          <w:tcPr>
            <w:tcW w:w="92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0.03</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0.00</w:t>
            </w:r>
          </w:p>
        </w:tc>
        <w:tc>
          <w:tcPr>
            <w:tcW w:w="754"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0.038</w:t>
            </w:r>
          </w:p>
        </w:tc>
      </w:tr>
      <w:tr>
        <w:tblPrEx>
          <w:tblCellMar>
            <w:top w:w="0" w:type="dxa"/>
            <w:left w:w="108" w:type="dxa"/>
            <w:bottom w:w="0" w:type="dxa"/>
            <w:right w:w="108" w:type="dxa"/>
          </w:tblCellMar>
        </w:tblPrEx>
        <w:trPr>
          <w:trHeight w:val="330" w:hRule="atLeast"/>
        </w:trPr>
        <w:tc>
          <w:tcPr>
            <w:tcW w:w="681"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300" w:lineRule="exact"/>
              <w:ind w:firstLine="360"/>
              <w:jc w:val="center"/>
              <w:rPr>
                <w:rFonts w:hint="default" w:ascii="Times New Roman" w:hAnsi="Times New Roman" w:eastAsia="宋体" w:cs="Times New Roman"/>
                <w:sz w:val="18"/>
                <w:szCs w:val="18"/>
              </w:rPr>
            </w:pPr>
          </w:p>
        </w:tc>
        <w:tc>
          <w:tcPr>
            <w:tcW w:w="647"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300" w:lineRule="exact"/>
              <w:ind w:firstLine="360"/>
              <w:jc w:val="center"/>
              <w:rPr>
                <w:rFonts w:hint="default" w:ascii="Times New Roman" w:hAnsi="Times New Roman" w:eastAsia="宋体" w:cs="Times New Roman"/>
                <w:sz w:val="18"/>
                <w:szCs w:val="18"/>
                <w:highlight w:val="none"/>
              </w:rPr>
            </w:pPr>
          </w:p>
        </w:tc>
        <w:tc>
          <w:tcPr>
            <w:tcW w:w="2170"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left"/>
              <w:textAlignment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kern w:val="0"/>
                <w:sz w:val="18"/>
                <w:szCs w:val="18"/>
                <w:highlight w:val="none"/>
                <w:lang w:bidi="ar"/>
              </w:rPr>
              <w:t>工业园区</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0.30</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0.20</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0.00</w:t>
            </w:r>
          </w:p>
        </w:tc>
        <w:tc>
          <w:tcPr>
            <w:tcW w:w="84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0.20</w:t>
            </w:r>
          </w:p>
        </w:tc>
        <w:tc>
          <w:tcPr>
            <w:tcW w:w="92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0.30</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0.20</w:t>
            </w:r>
          </w:p>
        </w:tc>
        <w:tc>
          <w:tcPr>
            <w:tcW w:w="754"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highlight w:val="none"/>
                <w:lang w:bidi="ar"/>
              </w:rPr>
            </w:pPr>
            <w:r>
              <w:rPr>
                <w:rFonts w:hint="default" w:ascii="Times New Roman" w:hAnsi="Times New Roman" w:eastAsia="宋体" w:cs="Times New Roman"/>
                <w:kern w:val="0"/>
                <w:sz w:val="18"/>
                <w:szCs w:val="18"/>
                <w:highlight w:val="none"/>
                <w:lang w:bidi="ar"/>
              </w:rPr>
              <w:t>1.20</w:t>
            </w:r>
          </w:p>
        </w:tc>
      </w:tr>
      <w:tr>
        <w:tblPrEx>
          <w:tblCellMar>
            <w:top w:w="0" w:type="dxa"/>
            <w:left w:w="108" w:type="dxa"/>
            <w:bottom w:w="0" w:type="dxa"/>
            <w:right w:w="108" w:type="dxa"/>
          </w:tblCellMar>
        </w:tblPrEx>
        <w:trPr>
          <w:trHeight w:val="441" w:hRule="atLeast"/>
        </w:trPr>
        <w:tc>
          <w:tcPr>
            <w:tcW w:w="681"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300" w:lineRule="exact"/>
              <w:ind w:firstLine="360"/>
              <w:jc w:val="center"/>
              <w:rPr>
                <w:rFonts w:hint="default" w:ascii="Times New Roman" w:hAnsi="Times New Roman" w:eastAsia="宋体" w:cs="Times New Roman"/>
                <w:sz w:val="18"/>
                <w:szCs w:val="18"/>
              </w:rPr>
            </w:pPr>
          </w:p>
        </w:tc>
        <w:tc>
          <w:tcPr>
            <w:tcW w:w="647" w:type="dxa"/>
            <w:vMerge w:val="restart"/>
            <w:tcBorders>
              <w:top w:val="nil"/>
              <w:left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sz w:val="18"/>
                <w:szCs w:val="18"/>
              </w:rPr>
            </w:pPr>
            <w:r>
              <w:rPr>
                <w:rFonts w:hint="default" w:ascii="Times New Roman" w:hAnsi="Times New Roman" w:eastAsia="宋体" w:cs="Times New Roman"/>
                <w:kern w:val="0"/>
                <w:sz w:val="18"/>
                <w:szCs w:val="18"/>
                <w:lang w:bidi="ar"/>
              </w:rPr>
              <w:t>城镇节水重点工程</w:t>
            </w:r>
          </w:p>
        </w:tc>
        <w:tc>
          <w:tcPr>
            <w:tcW w:w="2170"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kern w:val="0"/>
                <w:sz w:val="18"/>
                <w:szCs w:val="18"/>
                <w:lang w:bidi="ar"/>
              </w:rPr>
              <w:t>公共供水管网改造</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0.86</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0.38</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0.00</w:t>
            </w:r>
          </w:p>
        </w:tc>
        <w:tc>
          <w:tcPr>
            <w:tcW w:w="84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0.24</w:t>
            </w:r>
          </w:p>
        </w:tc>
        <w:tc>
          <w:tcPr>
            <w:tcW w:w="92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0.00</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0.24</w:t>
            </w:r>
          </w:p>
        </w:tc>
        <w:tc>
          <w:tcPr>
            <w:tcW w:w="754"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1.72</w:t>
            </w:r>
          </w:p>
        </w:tc>
      </w:tr>
      <w:tr>
        <w:tblPrEx>
          <w:tblCellMar>
            <w:top w:w="0" w:type="dxa"/>
            <w:left w:w="108" w:type="dxa"/>
            <w:bottom w:w="0" w:type="dxa"/>
            <w:right w:w="108" w:type="dxa"/>
          </w:tblCellMar>
        </w:tblPrEx>
        <w:trPr>
          <w:trHeight w:val="646" w:hRule="atLeast"/>
        </w:trPr>
        <w:tc>
          <w:tcPr>
            <w:tcW w:w="681"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300" w:lineRule="exact"/>
              <w:ind w:firstLine="360"/>
              <w:jc w:val="center"/>
              <w:rPr>
                <w:rFonts w:hint="default" w:ascii="Times New Roman" w:hAnsi="Times New Roman" w:eastAsia="宋体" w:cs="Times New Roman"/>
                <w:sz w:val="18"/>
                <w:szCs w:val="18"/>
              </w:rPr>
            </w:pPr>
          </w:p>
        </w:tc>
        <w:tc>
          <w:tcPr>
            <w:tcW w:w="647" w:type="dxa"/>
            <w:vMerge w:val="continue"/>
            <w:tcBorders>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sz w:val="18"/>
                <w:szCs w:val="18"/>
              </w:rPr>
            </w:pPr>
          </w:p>
        </w:tc>
        <w:tc>
          <w:tcPr>
            <w:tcW w:w="2170"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kern w:val="0"/>
                <w:sz w:val="18"/>
                <w:szCs w:val="18"/>
                <w:lang w:bidi="ar"/>
              </w:rPr>
              <w:t>节水型社会建设及节水载体建设</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0.00</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0.02</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0.20</w:t>
            </w:r>
          </w:p>
        </w:tc>
        <w:tc>
          <w:tcPr>
            <w:tcW w:w="84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0.20</w:t>
            </w:r>
          </w:p>
        </w:tc>
        <w:tc>
          <w:tcPr>
            <w:tcW w:w="92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1.00</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0.03</w:t>
            </w:r>
          </w:p>
        </w:tc>
        <w:tc>
          <w:tcPr>
            <w:tcW w:w="754"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1.45</w:t>
            </w:r>
          </w:p>
        </w:tc>
      </w:tr>
      <w:tr>
        <w:tblPrEx>
          <w:tblCellMar>
            <w:top w:w="0" w:type="dxa"/>
            <w:left w:w="108" w:type="dxa"/>
            <w:bottom w:w="0" w:type="dxa"/>
            <w:right w:w="108" w:type="dxa"/>
          </w:tblCellMar>
        </w:tblPrEx>
        <w:trPr>
          <w:trHeight w:val="535" w:hRule="atLeast"/>
        </w:trPr>
        <w:tc>
          <w:tcPr>
            <w:tcW w:w="681"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300" w:lineRule="exact"/>
              <w:ind w:firstLine="360"/>
              <w:jc w:val="center"/>
              <w:rPr>
                <w:rFonts w:hint="default" w:ascii="Times New Roman" w:hAnsi="Times New Roman" w:eastAsia="宋体" w:cs="Times New Roman"/>
                <w:sz w:val="18"/>
                <w:szCs w:val="18"/>
              </w:rPr>
            </w:pPr>
          </w:p>
        </w:tc>
        <w:tc>
          <w:tcPr>
            <w:tcW w:w="2817" w:type="dxa"/>
            <w:gridSpan w:val="2"/>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sz w:val="18"/>
                <w:szCs w:val="18"/>
              </w:rPr>
            </w:pPr>
            <w:r>
              <w:rPr>
                <w:rFonts w:hint="default" w:ascii="Times New Roman" w:hAnsi="Times New Roman" w:eastAsia="宋体" w:cs="Times New Roman"/>
                <w:kern w:val="0"/>
                <w:sz w:val="18"/>
                <w:szCs w:val="18"/>
                <w:lang w:bidi="ar"/>
              </w:rPr>
              <w:t>合计</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8.36</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23.41</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23.68</w:t>
            </w:r>
          </w:p>
        </w:tc>
        <w:tc>
          <w:tcPr>
            <w:tcW w:w="84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12.53</w:t>
            </w:r>
          </w:p>
        </w:tc>
        <w:tc>
          <w:tcPr>
            <w:tcW w:w="92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18.48</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13.87</w:t>
            </w:r>
          </w:p>
        </w:tc>
        <w:tc>
          <w:tcPr>
            <w:tcW w:w="754"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99.48</w:t>
            </w:r>
          </w:p>
        </w:tc>
      </w:tr>
      <w:tr>
        <w:tblPrEx>
          <w:tblCellMar>
            <w:top w:w="0" w:type="dxa"/>
            <w:left w:w="108" w:type="dxa"/>
            <w:bottom w:w="0" w:type="dxa"/>
            <w:right w:w="108" w:type="dxa"/>
          </w:tblCellMar>
        </w:tblPrEx>
        <w:trPr>
          <w:trHeight w:val="511" w:hRule="atLeast"/>
        </w:trPr>
        <w:tc>
          <w:tcPr>
            <w:tcW w:w="68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sz w:val="18"/>
                <w:szCs w:val="18"/>
              </w:rPr>
            </w:pPr>
            <w:r>
              <w:rPr>
                <w:rFonts w:hint="default" w:ascii="Times New Roman" w:hAnsi="Times New Roman" w:eastAsia="宋体" w:cs="Times New Roman"/>
                <w:kern w:val="0"/>
                <w:sz w:val="18"/>
                <w:szCs w:val="18"/>
                <w:lang w:bidi="ar"/>
              </w:rPr>
              <w:t>远期</w:t>
            </w:r>
          </w:p>
        </w:tc>
        <w:tc>
          <w:tcPr>
            <w:tcW w:w="647"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sz w:val="18"/>
                <w:szCs w:val="18"/>
              </w:rPr>
            </w:pPr>
            <w:r>
              <w:rPr>
                <w:rFonts w:hint="default" w:ascii="Times New Roman" w:hAnsi="Times New Roman" w:eastAsia="宋体" w:cs="Times New Roman"/>
                <w:kern w:val="0"/>
                <w:sz w:val="18"/>
                <w:szCs w:val="18"/>
                <w:lang w:bidi="ar"/>
              </w:rPr>
              <w:t>农业节水重点工程</w:t>
            </w:r>
          </w:p>
        </w:tc>
        <w:tc>
          <w:tcPr>
            <w:tcW w:w="2170"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kern w:val="0"/>
                <w:sz w:val="18"/>
                <w:szCs w:val="18"/>
                <w:lang w:bidi="ar"/>
              </w:rPr>
              <w:t>灌区续建配套与节水改造</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0.00</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18.20</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17.99</w:t>
            </w:r>
          </w:p>
        </w:tc>
        <w:tc>
          <w:tcPr>
            <w:tcW w:w="84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10.00</w:t>
            </w:r>
          </w:p>
        </w:tc>
        <w:tc>
          <w:tcPr>
            <w:tcW w:w="92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12.12</w:t>
            </w:r>
          </w:p>
        </w:tc>
        <w:tc>
          <w:tcPr>
            <w:tcW w:w="7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6.76</w:t>
            </w:r>
          </w:p>
        </w:tc>
        <w:tc>
          <w:tcPr>
            <w:tcW w:w="75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65.07</w:t>
            </w:r>
          </w:p>
        </w:tc>
      </w:tr>
      <w:tr>
        <w:tblPrEx>
          <w:tblCellMar>
            <w:top w:w="0" w:type="dxa"/>
            <w:left w:w="108" w:type="dxa"/>
            <w:bottom w:w="0" w:type="dxa"/>
            <w:right w:w="108" w:type="dxa"/>
          </w:tblCellMar>
        </w:tblPrEx>
        <w:trPr>
          <w:trHeight w:val="324" w:hRule="atLeast"/>
        </w:trPr>
        <w:tc>
          <w:tcPr>
            <w:tcW w:w="681"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300" w:lineRule="exact"/>
              <w:ind w:firstLine="360"/>
              <w:jc w:val="center"/>
              <w:rPr>
                <w:rFonts w:hint="default" w:ascii="Times New Roman" w:hAnsi="Times New Roman" w:eastAsia="宋体" w:cs="Times New Roman"/>
                <w:sz w:val="18"/>
                <w:szCs w:val="18"/>
              </w:rPr>
            </w:pPr>
          </w:p>
        </w:tc>
        <w:tc>
          <w:tcPr>
            <w:tcW w:w="647"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300" w:lineRule="exact"/>
              <w:ind w:firstLine="360"/>
              <w:jc w:val="center"/>
              <w:rPr>
                <w:rFonts w:hint="default" w:ascii="Times New Roman" w:hAnsi="Times New Roman" w:eastAsia="宋体" w:cs="Times New Roman"/>
                <w:sz w:val="18"/>
                <w:szCs w:val="18"/>
              </w:rPr>
            </w:pPr>
          </w:p>
        </w:tc>
        <w:tc>
          <w:tcPr>
            <w:tcW w:w="2170"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kern w:val="0"/>
                <w:sz w:val="18"/>
                <w:szCs w:val="18"/>
                <w:lang w:bidi="ar"/>
              </w:rPr>
              <w:t>畜牧渔节水工程</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0.00</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0.00</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2.00</w:t>
            </w:r>
          </w:p>
        </w:tc>
        <w:tc>
          <w:tcPr>
            <w:tcW w:w="84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0.00</w:t>
            </w:r>
          </w:p>
        </w:tc>
        <w:tc>
          <w:tcPr>
            <w:tcW w:w="92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6.50</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2.00</w:t>
            </w:r>
          </w:p>
        </w:tc>
        <w:tc>
          <w:tcPr>
            <w:tcW w:w="754"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10.50</w:t>
            </w:r>
          </w:p>
        </w:tc>
      </w:tr>
      <w:tr>
        <w:tblPrEx>
          <w:tblCellMar>
            <w:top w:w="0" w:type="dxa"/>
            <w:left w:w="108" w:type="dxa"/>
            <w:bottom w:w="0" w:type="dxa"/>
            <w:right w:w="108" w:type="dxa"/>
          </w:tblCellMar>
        </w:tblPrEx>
        <w:trPr>
          <w:trHeight w:val="330" w:hRule="atLeast"/>
        </w:trPr>
        <w:tc>
          <w:tcPr>
            <w:tcW w:w="681" w:type="dxa"/>
            <w:vMerge w:val="continue"/>
            <w:tcBorders>
              <w:top w:val="nil"/>
              <w:left w:val="single" w:color="000000" w:sz="8" w:space="0"/>
              <w:bottom w:val="single" w:color="000000" w:sz="8" w:space="0"/>
              <w:right w:val="single" w:color="000000" w:sz="8" w:space="0"/>
            </w:tcBorders>
            <w:shd w:val="clear" w:color="auto" w:fill="auto"/>
            <w:vAlign w:val="center"/>
          </w:tcPr>
          <w:p>
            <w:pPr>
              <w:spacing w:line="300" w:lineRule="exact"/>
              <w:ind w:firstLine="360"/>
              <w:jc w:val="center"/>
              <w:rPr>
                <w:rFonts w:hint="default" w:ascii="Times New Roman" w:hAnsi="Times New Roman" w:eastAsia="宋体" w:cs="Times New Roman"/>
                <w:sz w:val="18"/>
                <w:szCs w:val="18"/>
              </w:rPr>
            </w:pPr>
          </w:p>
        </w:tc>
        <w:tc>
          <w:tcPr>
            <w:tcW w:w="2817" w:type="dxa"/>
            <w:gridSpan w:val="2"/>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sz w:val="18"/>
                <w:szCs w:val="18"/>
              </w:rPr>
            </w:pPr>
            <w:r>
              <w:rPr>
                <w:rFonts w:hint="default" w:ascii="Times New Roman" w:hAnsi="Times New Roman" w:eastAsia="宋体" w:cs="Times New Roman"/>
                <w:kern w:val="0"/>
                <w:sz w:val="18"/>
                <w:szCs w:val="18"/>
                <w:lang w:bidi="ar"/>
              </w:rPr>
              <w:t>合计</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0.00</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18.20</w:t>
            </w:r>
          </w:p>
        </w:tc>
        <w:tc>
          <w:tcPr>
            <w:tcW w:w="777"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19.99</w:t>
            </w:r>
          </w:p>
        </w:tc>
        <w:tc>
          <w:tcPr>
            <w:tcW w:w="84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10.00</w:t>
            </w:r>
          </w:p>
        </w:tc>
        <w:tc>
          <w:tcPr>
            <w:tcW w:w="922"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18.62</w:t>
            </w:r>
          </w:p>
        </w:tc>
        <w:tc>
          <w:tcPr>
            <w:tcW w:w="793"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8.76</w:t>
            </w:r>
          </w:p>
        </w:tc>
        <w:tc>
          <w:tcPr>
            <w:tcW w:w="754"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kern w:val="0"/>
                <w:sz w:val="18"/>
                <w:szCs w:val="18"/>
                <w:lang w:bidi="ar"/>
              </w:rPr>
            </w:pPr>
            <w:r>
              <w:rPr>
                <w:rFonts w:hint="default" w:ascii="Times New Roman" w:hAnsi="Times New Roman" w:eastAsia="宋体" w:cs="Times New Roman"/>
                <w:kern w:val="0"/>
                <w:sz w:val="18"/>
                <w:szCs w:val="18"/>
                <w:lang w:bidi="ar"/>
              </w:rPr>
              <w:t>75.57</w:t>
            </w:r>
          </w:p>
        </w:tc>
      </w:tr>
    </w:tbl>
    <w:p>
      <w:pPr>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经初步概算，巴中市节水型社会建设规划近、远期总投入175.05亿元。其中2021年－2025年预计投入99.48亿元，其中：农业节水工程94.73亿元，工业节水工程</w:t>
      </w:r>
      <w:r>
        <w:rPr>
          <w:rFonts w:hint="default" w:ascii="Times New Roman" w:hAnsi="Times New Roman" w:eastAsia="仿宋_GB2312" w:cs="Times New Roman"/>
          <w:sz w:val="32"/>
          <w:szCs w:val="32"/>
          <w:highlight w:val="none"/>
        </w:rPr>
        <w:t>1.58亿元，城镇生活节水工程</w:t>
      </w:r>
      <w:r>
        <w:rPr>
          <w:rFonts w:hint="default" w:ascii="Times New Roman" w:hAnsi="Times New Roman" w:eastAsia="仿宋_GB2312" w:cs="Times New Roman"/>
          <w:sz w:val="32"/>
          <w:szCs w:val="32"/>
        </w:rPr>
        <w:t>3.17亿元；2026年-2035年预计投入75.57亿元，全部为农业节水工程75.57亿元。</w:t>
      </w:r>
    </w:p>
    <w:p>
      <w:pPr>
        <w:pStyle w:val="4"/>
        <w:pageBreakBefore w:val="0"/>
        <w:widowControl w:val="0"/>
        <w:kinsoku/>
        <w:wordWrap/>
        <w:overflowPunct/>
        <w:topLinePunct w:val="0"/>
        <w:autoSpaceDE/>
        <w:autoSpaceDN/>
        <w:bidi w:val="0"/>
        <w:adjustRightInd/>
        <w:snapToGrid w:val="0"/>
        <w:spacing w:before="0" w:after="0" w:line="560" w:lineRule="exact"/>
        <w:ind w:firstLine="640" w:firstLineChars="200"/>
        <w:jc w:val="both"/>
        <w:textAlignment w:val="auto"/>
        <w:rPr>
          <w:rFonts w:hint="eastAsia" w:ascii="黑体" w:hAnsi="黑体" w:eastAsia="黑体" w:cs="黑体"/>
          <w:b w:val="0"/>
          <w:bCs w:val="0"/>
          <w:color w:val="auto"/>
          <w:sz w:val="32"/>
          <w:szCs w:val="32"/>
        </w:rPr>
      </w:pPr>
      <w:bookmarkStart w:id="256" w:name="_Toc100673826"/>
      <w:bookmarkStart w:id="257" w:name="_Toc15279"/>
      <w:r>
        <w:rPr>
          <w:rFonts w:hint="eastAsia" w:ascii="黑体" w:hAnsi="黑体" w:eastAsia="黑体" w:cs="黑体"/>
          <w:b w:val="0"/>
          <w:bCs w:val="0"/>
          <w:color w:val="auto"/>
          <w:sz w:val="32"/>
          <w:szCs w:val="32"/>
        </w:rPr>
        <w:t>七、环境影响分析</w:t>
      </w:r>
      <w:bookmarkEnd w:id="252"/>
      <w:bookmarkEnd w:id="253"/>
      <w:bookmarkEnd w:id="254"/>
      <w:bookmarkEnd w:id="255"/>
      <w:bookmarkEnd w:id="256"/>
      <w:bookmarkEnd w:id="257"/>
    </w:p>
    <w:p>
      <w:pPr>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节约用水可从水资源可持续利用和生态环境保护的层面上促进巴中市经济结构和产业布局更加趋于科学合理，在水资源高效利用的同时有效地保护生态环境，将经济发展用水对生态环境的影响降低到最小。规划实施后，其效果体现在以下五个方面：一是有效控制用水需求过度增长，遏制水资源过度开发；二是促进经济结构调整和产业优化升级；三是节余水量可缓解部分供需矛盾；四是节水就是减污，可有效减少污染物排放保护环境；五是部分节余水量可作为生态补水，用于改善生态环境。</w:t>
      </w:r>
    </w:p>
    <w:p>
      <w:pPr>
        <w:pStyle w:val="5"/>
        <w:pageBreakBefore w:val="0"/>
        <w:widowControl w:val="0"/>
        <w:kinsoku/>
        <w:wordWrap/>
        <w:overflowPunct/>
        <w:topLinePunct w:val="0"/>
        <w:autoSpaceDE/>
        <w:autoSpaceDN/>
        <w:bidi w:val="0"/>
        <w:adjustRightInd/>
        <w:spacing w:line="560" w:lineRule="exact"/>
        <w:ind w:firstLine="643" w:firstLineChars="200"/>
        <w:jc w:val="both"/>
        <w:textAlignment w:val="auto"/>
        <w:rPr>
          <w:rFonts w:hint="eastAsia" w:ascii="楷体_GB2312" w:hAnsi="楷体_GB2312" w:eastAsia="楷体_GB2312" w:cs="楷体_GB2312"/>
          <w:color w:val="auto"/>
          <w:sz w:val="32"/>
          <w:szCs w:val="32"/>
        </w:rPr>
      </w:pPr>
      <w:bookmarkStart w:id="258" w:name="_Toc910"/>
      <w:bookmarkStart w:id="259" w:name="_Toc27867"/>
      <w:bookmarkStart w:id="260" w:name="_Toc9005"/>
      <w:bookmarkStart w:id="261" w:name="_Toc27382"/>
      <w:bookmarkStart w:id="262" w:name="_Toc100673827"/>
      <w:bookmarkStart w:id="263" w:name="_Toc9328"/>
      <w:r>
        <w:rPr>
          <w:rFonts w:hint="eastAsia" w:ascii="楷体_GB2312" w:hAnsi="楷体_GB2312" w:eastAsia="楷体_GB2312" w:cs="楷体_GB2312"/>
          <w:color w:val="auto"/>
          <w:sz w:val="32"/>
          <w:szCs w:val="32"/>
        </w:rPr>
        <w:t>（一）有利影响</w:t>
      </w:r>
      <w:bookmarkEnd w:id="258"/>
      <w:bookmarkEnd w:id="259"/>
      <w:bookmarkEnd w:id="260"/>
      <w:bookmarkEnd w:id="261"/>
      <w:bookmarkEnd w:id="262"/>
      <w:bookmarkEnd w:id="263"/>
    </w:p>
    <w:p>
      <w:pPr>
        <w:pStyle w:val="6"/>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（1）农业节水</w:t>
      </w:r>
    </w:p>
    <w:p>
      <w:pPr>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节水为中心的大中型灌区续建配套与技术改造是农业节水的基本措施，通过改造：一是在一定的水资源供给条件下，通过科学合理的农田灌溉，提高灌溉用水效率，使农田灌溉水量有效减少，其节水量可全部或部分退还生态用水，有效改善生态环境。二是灌溉用水效率的提高，结合农药和化肥的合理使用，可减少灌溉退水将农药、化肥带入河道或渗入地下含水层，从而有效地减轻面源污染和地下水污染。三是田间节水措施的实施有利于土壤改良，有利于土壤物理性质和微生物环境的改善。四是通过灌区节水改造中对沟渠的疏浚治理，可提高区域行洪、排涝能力，防止坍塌、崩岸，缓解水土流失压力。</w:t>
      </w:r>
    </w:p>
    <w:p>
      <w:pPr>
        <w:pStyle w:val="6"/>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（2）工业和城镇节水</w:t>
      </w:r>
    </w:p>
    <w:p>
      <w:pPr>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状水体中绝大多数有毒有害物质来源于城镇生活污水和工业废水。废污水大量排放，是造成水环境状况日趋恶化、江河湖泊和地下水普遍遭到污染、水体使用功能下降的主要原因。工业节水的主要措施分为工艺节水改造、废水处理及其回用。绝大部分的工艺改造措施和所有的废水处理措施都可以有效地减少有毒有害污染物的排放，因此工业节水改造对保护生态环境、保障城镇和农村的生活饮用水安全关系重大。</w:t>
      </w:r>
    </w:p>
    <w:p>
      <w:pPr>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城市公共用水节水和居民节水措施中的再生水处理回用也有效地减少了污染物的排放。另外，通过对老旧供水管网的更新改造，有效地降低供水中重金属和有害物质的二次污染，提高城镇居民的生活用水质量。</w:t>
      </w:r>
    </w:p>
    <w:p>
      <w:pPr>
        <w:pStyle w:val="6"/>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（3）非常规水源利用</w:t>
      </w:r>
    </w:p>
    <w:p>
      <w:pPr>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常规水源中扩大再生水利用，一方面可有效地节约水资源，实现水资源的再生和循环使用，另一方面可以有效控制污染物排放，改善自然生态环境，改善区域和城市的水环境质量。雨水集蓄利用可以减轻降雨对地表的冲刷，涵养水资源，增加可供水量。</w:t>
      </w:r>
    </w:p>
    <w:p>
      <w:pPr>
        <w:pStyle w:val="5"/>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楷体_GB2312" w:hAnsi="楷体_GB2312" w:eastAsia="楷体_GB2312" w:cs="楷体_GB2312"/>
          <w:color w:val="auto"/>
          <w:sz w:val="32"/>
          <w:szCs w:val="32"/>
        </w:rPr>
      </w:pPr>
      <w:bookmarkStart w:id="264" w:name="_Toc15244"/>
      <w:bookmarkStart w:id="265" w:name="_Toc12018"/>
      <w:bookmarkStart w:id="266" w:name="_Toc6145"/>
      <w:bookmarkStart w:id="267" w:name="_Toc10690"/>
      <w:bookmarkStart w:id="268" w:name="_Toc13173"/>
      <w:bookmarkStart w:id="269" w:name="_Toc100673828"/>
      <w:r>
        <w:rPr>
          <w:rFonts w:hint="default" w:ascii="楷体_GB2312" w:hAnsi="楷体_GB2312" w:eastAsia="楷体_GB2312" w:cs="楷体_GB2312"/>
          <w:color w:val="auto"/>
          <w:sz w:val="32"/>
          <w:szCs w:val="32"/>
        </w:rPr>
        <w:t>（二）不利影响</w:t>
      </w:r>
      <w:bookmarkEnd w:id="264"/>
      <w:bookmarkEnd w:id="265"/>
      <w:bookmarkEnd w:id="266"/>
      <w:bookmarkEnd w:id="267"/>
      <w:bookmarkEnd w:id="268"/>
      <w:bookmarkEnd w:id="269"/>
    </w:p>
    <w:p>
      <w:pPr>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规划的实施可以对生态环境、水土保持带来诸多的有利影响，但在某些节水工程建设、改造过程中以及部分工程、设施运行过程中可能会对环境产生临时性或局部性的不利影响，然而大多不利影响是短暂的、可控的，可通过针对性措施予以减轻、避免或降低到最低限度。</w:t>
      </w:r>
    </w:p>
    <w:p>
      <w:pPr>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农业节水工程实施后可能给生态环境带来一些不利影响。渠道衬砌减少了沿途渗漏，使得沿渠的植物直接获取的水分减少，不利于植物自然生长；田间灌溉水量的减少也可能会引起土壤的物理生化特性发生一定的改变。但总体而言，农业节水工程措施的正面影响远远大于不利影响。对不利影响，可通过其他水源方式，保持灌区生态的稳定，并在施工中实施水土保持措施修复和恢复植被，防止水土流失。</w:t>
      </w:r>
    </w:p>
    <w:p>
      <w:pPr>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非常规水资源开发利用工程的建设中，可能会对陆域水循环过程、河湖水文情势及生态环境造成一定影响；在污水处理厂及管网建设项目投产运行后，在一定范围内将可能有恶臭和机械噪声产生，同时每天有数百吨剩余污泥等固体废物排放；城市供水管网改造期间，会造成交通拥堵，给城市居民生活带来不便，排污管的开挖也会有恶臭味而污染周围环境。</w:t>
      </w:r>
    </w:p>
    <w:p>
      <w:pPr>
        <w:pStyle w:val="5"/>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楷体_GB2312" w:hAnsi="楷体_GB2312" w:eastAsia="楷体_GB2312" w:cs="楷体_GB2312"/>
          <w:color w:val="auto"/>
          <w:sz w:val="32"/>
          <w:szCs w:val="32"/>
        </w:rPr>
      </w:pPr>
      <w:bookmarkStart w:id="270" w:name="_Toc752"/>
      <w:bookmarkStart w:id="271" w:name="_Toc6165"/>
      <w:bookmarkStart w:id="272" w:name="_Toc29296"/>
      <w:bookmarkStart w:id="273" w:name="_Toc20085"/>
      <w:bookmarkStart w:id="274" w:name="_Toc100673829"/>
      <w:bookmarkStart w:id="275" w:name="_Toc8949"/>
      <w:r>
        <w:rPr>
          <w:rFonts w:hint="default" w:ascii="楷体_GB2312" w:hAnsi="楷体_GB2312" w:eastAsia="楷体_GB2312" w:cs="楷体_GB2312"/>
          <w:color w:val="auto"/>
          <w:sz w:val="32"/>
          <w:szCs w:val="32"/>
        </w:rPr>
        <w:t>（三）减免不利影响的对策措施</w:t>
      </w:r>
      <w:bookmarkEnd w:id="270"/>
      <w:bookmarkEnd w:id="271"/>
      <w:bookmarkEnd w:id="272"/>
      <w:bookmarkEnd w:id="273"/>
      <w:bookmarkEnd w:id="274"/>
      <w:bookmarkEnd w:id="275"/>
    </w:p>
    <w:p>
      <w:pPr>
        <w:pStyle w:val="6"/>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（1）落实工程建设项目环境影响评价制度</w:t>
      </w:r>
    </w:p>
    <w:p>
      <w:pPr>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认真落实工程建设项目环境影响评价制度和各项环境保护措施，严格执行环保与节水“三同时”管理制度，坚决避免盲目上项目。在一些河流（渠道）改造项目中杜绝束窄河道、减小洪断面，以及河流渠化硬化的倾向，尽量保持河道自然形态，提倡采用生态型河道治理措施，注意与城市景观、生态环境的协调。严格工程建设管理和环境监管。依法加强相关专项规划环境影响评</w:t>
      </w:r>
      <w:r>
        <w:rPr>
          <w:rFonts w:hint="default" w:ascii="Times New Roman" w:hAnsi="Times New Roman" w:eastAsia="仿宋_GB2312" w:cs="Times New Roman"/>
          <w:spacing w:val="-6"/>
          <w:sz w:val="32"/>
          <w:szCs w:val="32"/>
        </w:rPr>
        <w:t>价工作，提高规划的科学性，努力从源头预防环境污染和生态破坏。</w:t>
      </w:r>
    </w:p>
    <w:p>
      <w:pPr>
        <w:pStyle w:val="6"/>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（2）加强对项目实施的监测评估和管理</w:t>
      </w:r>
    </w:p>
    <w:p>
      <w:pPr>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bookmarkStart w:id="276" w:name="二、坚持用法律和制度保护水生态环境"/>
      <w:bookmarkEnd w:id="276"/>
      <w:bookmarkStart w:id="277" w:name="三、加强对项目实施的监测评估和管理"/>
      <w:bookmarkEnd w:id="277"/>
      <w:r>
        <w:rPr>
          <w:rFonts w:hint="default" w:ascii="Times New Roman" w:hAnsi="Times New Roman" w:eastAsia="仿宋_GB2312" w:cs="Times New Roman"/>
          <w:sz w:val="32"/>
          <w:szCs w:val="32"/>
        </w:rPr>
        <w:t>加强项目实施后可能影响的重要生态环境敏感区和重要目标的监测与保护，及时掌握环境变化，采取相应的对策措施。对直接影响重要生态环境敏感区域和重要目标的规划和项目，应优化调整规划项目布局和选址，严格依法落实保护要求。加强项目实施的环境风险评价与管理，针对可能发生的重大环境风险问题，制定突发环境事件的风险应急管理措施。</w:t>
      </w:r>
    </w:p>
    <w:p>
      <w:pPr>
        <w:pStyle w:val="6"/>
        <w:keepNext/>
        <w:keepLines/>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rPr>
        <w:t>（3）坚持文明施工降低环境风险</w:t>
      </w:r>
    </w:p>
    <w:p>
      <w:pPr>
        <w:pStyle w:val="4"/>
        <w:keepNext/>
        <w:keepLines/>
        <w:pageBreakBefore w:val="0"/>
        <w:widowControl w:val="0"/>
        <w:kinsoku/>
        <w:wordWrap/>
        <w:overflowPunct/>
        <w:topLinePunct w:val="0"/>
        <w:autoSpaceDE/>
        <w:autoSpaceDN/>
        <w:bidi w:val="0"/>
        <w:adjustRightInd/>
        <w:snapToGrid w:val="0"/>
        <w:spacing w:before="0" w:after="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对于工程建设任务，要严格施工队伍管理，规范文明施工，积极采取水土保持、防尘罩、隔音墙等防范措施，尽可能避免或减少施工过程中对周边环境的不利影响。要高度重视水利工程建设的不利环境影响，依法加强相关规划和建设项目环境影响评价等工程前期工作，强化相应的生态环境保护措施，并根据生态环境对项目实施的响应及时优化调整实施方式，强化对工程规划、设计、建设、管理全过程的监管，最大程度地降低项目实施的不利环境影响</w:t>
      </w:r>
      <w:r>
        <w:rPr>
          <w:rFonts w:hint="default" w:ascii="Times New Roman" w:hAnsi="Times New Roman" w:eastAsia="仿宋_GB2312" w:cs="Times New Roman"/>
          <w:sz w:val="32"/>
          <w:szCs w:val="32"/>
        </w:rPr>
        <w:t>。</w:t>
      </w:r>
      <w:bookmarkEnd w:id="162"/>
      <w:bookmarkStart w:id="278" w:name="_Toc27261"/>
      <w:bookmarkStart w:id="279" w:name="_Toc8486"/>
      <w:bookmarkStart w:id="280" w:name="_Toc17410"/>
      <w:bookmarkStart w:id="281" w:name="_Toc100673830"/>
      <w:bookmarkStart w:id="282" w:name="_Toc18613"/>
      <w:bookmarkStart w:id="283" w:name="_Toc26813"/>
      <w:bookmarkStart w:id="284" w:name="_Toc80693633"/>
    </w:p>
    <w:p>
      <w:pPr>
        <w:pStyle w:val="4"/>
        <w:pageBreakBefore w:val="0"/>
        <w:widowControl w:val="0"/>
        <w:kinsoku/>
        <w:wordWrap/>
        <w:overflowPunct/>
        <w:topLinePunct w:val="0"/>
        <w:autoSpaceDE/>
        <w:autoSpaceDN/>
        <w:bidi w:val="0"/>
        <w:adjustRightInd/>
        <w:snapToGrid w:val="0"/>
        <w:spacing w:before="0" w:after="0" w:line="560" w:lineRule="exact"/>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八、保障措施</w:t>
      </w:r>
      <w:bookmarkEnd w:id="278"/>
      <w:bookmarkEnd w:id="279"/>
      <w:bookmarkEnd w:id="280"/>
      <w:bookmarkEnd w:id="281"/>
      <w:bookmarkEnd w:id="282"/>
      <w:bookmarkEnd w:id="283"/>
      <w:bookmarkEnd w:id="284"/>
    </w:p>
    <w:p>
      <w:pPr>
        <w:pStyle w:val="5"/>
        <w:pageBreakBefore w:val="0"/>
        <w:widowControl w:val="0"/>
        <w:kinsoku/>
        <w:wordWrap/>
        <w:overflowPunct/>
        <w:topLinePunct w:val="0"/>
        <w:autoSpaceDE/>
        <w:autoSpaceDN/>
        <w:bidi w:val="0"/>
        <w:adjustRightInd/>
        <w:spacing w:line="560" w:lineRule="exact"/>
        <w:ind w:firstLine="643" w:firstLineChars="200"/>
        <w:jc w:val="both"/>
        <w:textAlignment w:val="auto"/>
        <w:rPr>
          <w:rFonts w:hint="eastAsia" w:ascii="楷体_GB2312" w:hAnsi="楷体_GB2312" w:eastAsia="楷体_GB2312" w:cs="楷体_GB2312"/>
          <w:color w:val="auto"/>
          <w:sz w:val="32"/>
          <w:szCs w:val="32"/>
        </w:rPr>
      </w:pPr>
      <w:bookmarkStart w:id="285" w:name="_Toc100673831"/>
      <w:bookmarkStart w:id="286" w:name="_Toc28768"/>
      <w:bookmarkStart w:id="287" w:name="_Toc688"/>
      <w:bookmarkStart w:id="288" w:name="_Toc16542"/>
      <w:bookmarkStart w:id="289" w:name="_Toc2738"/>
      <w:bookmarkStart w:id="290" w:name="_Toc80693634"/>
      <w:bookmarkStart w:id="291" w:name="_Toc15842"/>
      <w:r>
        <w:rPr>
          <w:rFonts w:hint="eastAsia" w:ascii="楷体_GB2312" w:hAnsi="楷体_GB2312" w:eastAsia="楷体_GB2312" w:cs="楷体_GB2312"/>
          <w:color w:val="auto"/>
          <w:sz w:val="32"/>
          <w:szCs w:val="32"/>
        </w:rPr>
        <w:t>（一）加强组织领导</w:t>
      </w:r>
      <w:bookmarkEnd w:id="285"/>
      <w:bookmarkEnd w:id="286"/>
      <w:bookmarkEnd w:id="287"/>
      <w:bookmarkEnd w:id="288"/>
      <w:bookmarkEnd w:id="289"/>
      <w:bookmarkEnd w:id="290"/>
      <w:bookmarkEnd w:id="291"/>
    </w:p>
    <w:p>
      <w:pPr>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切实加强对节约用水工作的领导，全面落实规划的实施，强化规划的指导和约束作用，把规划确定的节约用水相关的控制性指标及主要任务纳入国民经济和社会发展规划和重要议事日程，进一步强化市县政府主体责任和部门管理责任，建立健全规划实施责任制度和协调工作机制，按职责分工加强指导和组织、落实责任目标、完善工作规程、切实履行职责、协调以及监督规划实施；各有关部门应加强部门协作、形成齐抓共管，切实履行职责，统筹和协调解决节水工作中的重大问题，把规划变成行之有效的行动和管理依据，确保规划目标和任务的完成。</w:t>
      </w:r>
      <w:r>
        <w:rPr>
          <w:rFonts w:hint="default" w:ascii="Times New Roman" w:hAnsi="Times New Roman" w:eastAsia="仿宋_GB2312" w:cs="Times New Roman"/>
          <w:b/>
          <w:bCs/>
          <w:sz w:val="32"/>
          <w:szCs w:val="32"/>
        </w:rPr>
        <w:t>（市发展改革委、市水利局、</w:t>
      </w:r>
      <w:r>
        <w:rPr>
          <w:rFonts w:hint="default" w:eastAsia="仿宋_GB2312" w:cs="Times New Roman"/>
          <w:b/>
          <w:bCs/>
          <w:sz w:val="32"/>
          <w:szCs w:val="32"/>
        </w:rPr>
        <w:t>市科技局</w:t>
      </w:r>
      <w:r>
        <w:rPr>
          <w:rFonts w:hint="default" w:ascii="Times New Roman" w:hAnsi="Times New Roman" w:eastAsia="仿宋_GB2312" w:cs="Times New Roman"/>
          <w:b/>
          <w:bCs/>
          <w:sz w:val="32"/>
          <w:szCs w:val="32"/>
        </w:rPr>
        <w:t>、</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、市财政局、市自然资源和规划局、市生态环境局、</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、市农业农村局、</w:t>
      </w:r>
      <w:r>
        <w:rPr>
          <w:rFonts w:hint="default" w:eastAsia="仿宋_GB2312" w:cs="Times New Roman"/>
          <w:b/>
          <w:bCs/>
          <w:sz w:val="32"/>
          <w:szCs w:val="32"/>
        </w:rPr>
        <w:t>市市场监管局</w:t>
      </w:r>
      <w:r>
        <w:rPr>
          <w:rFonts w:hint="default" w:ascii="Times New Roman" w:hAnsi="Times New Roman" w:eastAsia="仿宋_GB2312" w:cs="Times New Roman"/>
          <w:b/>
          <w:bCs/>
          <w:sz w:val="32"/>
          <w:szCs w:val="32"/>
        </w:rPr>
        <w:t>、市机关事务管理等部门按职责分工共同推进）</w:t>
      </w:r>
    </w:p>
    <w:p>
      <w:pPr>
        <w:pStyle w:val="5"/>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楷体_GB2312" w:hAnsi="楷体_GB2312" w:eastAsia="楷体_GB2312" w:cs="楷体_GB2312"/>
          <w:color w:val="auto"/>
          <w:sz w:val="32"/>
          <w:szCs w:val="32"/>
        </w:rPr>
      </w:pPr>
      <w:bookmarkStart w:id="292" w:name="_Toc11666"/>
      <w:bookmarkStart w:id="293" w:name="_Toc26411"/>
      <w:bookmarkStart w:id="294" w:name="_Toc15677"/>
      <w:bookmarkStart w:id="295" w:name="_Toc100673832"/>
      <w:bookmarkStart w:id="296" w:name="_Toc9832"/>
      <w:bookmarkStart w:id="297" w:name="_Toc27148"/>
      <w:r>
        <w:rPr>
          <w:rFonts w:hint="default" w:ascii="楷体_GB2312" w:hAnsi="楷体_GB2312" w:eastAsia="楷体_GB2312" w:cs="楷体_GB2312"/>
          <w:color w:val="auto"/>
          <w:sz w:val="32"/>
          <w:szCs w:val="32"/>
        </w:rPr>
        <w:t>（二）完善资金投入机制</w:t>
      </w:r>
      <w:bookmarkEnd w:id="292"/>
      <w:bookmarkEnd w:id="293"/>
      <w:bookmarkEnd w:id="294"/>
      <w:bookmarkEnd w:id="295"/>
      <w:bookmarkEnd w:id="296"/>
      <w:bookmarkEnd w:id="297"/>
    </w:p>
    <w:p>
      <w:pPr>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强化财政投入保障，构建多元化投入保障机制。鼓励符合条件的企业采用绿色债券、资产证券化等手段，依法依规拓宽融资渠道。规范有序推广政府和社会资本合作（PPP）模式，引导社会资本积极参与建设运营。积极争取中央资金支持，加大地方财政投入，强化资金统筹整合。依法落实节约用水、非常规水源利用等方面税收等优惠政策。</w:t>
      </w:r>
      <w:r>
        <w:rPr>
          <w:rFonts w:hint="default" w:ascii="Times New Roman" w:hAnsi="Times New Roman" w:eastAsia="仿宋_GB2312" w:cs="Times New Roman"/>
          <w:b/>
          <w:bCs/>
          <w:sz w:val="32"/>
          <w:szCs w:val="32"/>
        </w:rPr>
        <w:t>（牵头单位：市财政局、中国人民银行巴中市中心支行、市发展改革委按职责分工负责；参与单位：</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、市自然资源和规划局、</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、市水利局、市农业农村局、市税务局）</w:t>
      </w:r>
    </w:p>
    <w:p>
      <w:pPr>
        <w:pStyle w:val="5"/>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楷体_GB2312" w:hAnsi="楷体_GB2312" w:eastAsia="楷体_GB2312" w:cs="楷体_GB2312"/>
          <w:color w:val="auto"/>
          <w:sz w:val="32"/>
          <w:szCs w:val="32"/>
        </w:rPr>
      </w:pPr>
      <w:bookmarkStart w:id="298" w:name="_Toc20712"/>
      <w:bookmarkStart w:id="299" w:name="_Toc29465"/>
      <w:bookmarkStart w:id="300" w:name="_Toc24305"/>
      <w:bookmarkStart w:id="301" w:name="_Toc30422"/>
      <w:bookmarkStart w:id="302" w:name="_Toc100673833"/>
      <w:bookmarkStart w:id="303" w:name="_Toc14214"/>
      <w:r>
        <w:rPr>
          <w:rFonts w:hint="default" w:ascii="楷体_GB2312" w:hAnsi="楷体_GB2312" w:eastAsia="楷体_GB2312" w:cs="楷体_GB2312"/>
          <w:color w:val="auto"/>
          <w:sz w:val="32"/>
          <w:szCs w:val="32"/>
        </w:rPr>
        <w:t>（三）强化监督考核</w:t>
      </w:r>
      <w:bookmarkEnd w:id="298"/>
      <w:bookmarkEnd w:id="299"/>
      <w:bookmarkEnd w:id="300"/>
      <w:bookmarkEnd w:id="301"/>
      <w:bookmarkEnd w:id="302"/>
      <w:bookmarkEnd w:id="303"/>
    </w:p>
    <w:p>
      <w:pPr>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依法规范全社会用水行为，优化监督考核方式和内容。市县党委政府要严格落实约束性指标管理，将主要指标纳入经济社会发展综合评价体系、纳入最严格水资源管理制度考核、河长制考核和政绩考核，将考核结果作为各单位主要负责人和领导班子综合考核评价的重要依据；完善节水工作监管平台，加强规划实施的督查和跟踪评估，根据评估结果对实施责任主体进行考核，确保各项措施落到实处；完善公众参与机制，充分发挥舆论监管、社会监督和行业自律作用，推动节水多元共治。</w:t>
      </w:r>
      <w:r>
        <w:rPr>
          <w:rFonts w:hint="default" w:ascii="Times New Roman" w:hAnsi="Times New Roman" w:eastAsia="仿宋_GB2312" w:cs="Times New Roman"/>
          <w:b/>
          <w:bCs/>
          <w:sz w:val="32"/>
          <w:szCs w:val="32"/>
        </w:rPr>
        <w:t>（牵头单位：市水利局；参与单位：市发展改革委、</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、市司法局、</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、市农业农村局、市统计局）</w:t>
      </w:r>
    </w:p>
    <w:p>
      <w:pPr>
        <w:pStyle w:val="5"/>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楷体_GB2312" w:hAnsi="楷体_GB2312" w:eastAsia="楷体_GB2312" w:cs="楷体_GB2312"/>
          <w:color w:val="auto"/>
          <w:sz w:val="32"/>
          <w:szCs w:val="32"/>
        </w:rPr>
      </w:pPr>
      <w:bookmarkStart w:id="304" w:name="_Toc12417"/>
      <w:bookmarkStart w:id="305" w:name="_Toc29220"/>
      <w:bookmarkStart w:id="306" w:name="_Toc4141"/>
      <w:bookmarkStart w:id="307" w:name="_Toc80693637"/>
      <w:bookmarkStart w:id="308" w:name="_Toc32727"/>
      <w:bookmarkStart w:id="309" w:name="_Toc13454"/>
      <w:bookmarkStart w:id="310" w:name="_Toc100673834"/>
      <w:r>
        <w:rPr>
          <w:rFonts w:hint="default" w:ascii="楷体_GB2312" w:hAnsi="楷体_GB2312" w:eastAsia="楷体_GB2312" w:cs="楷体_GB2312"/>
          <w:color w:val="auto"/>
          <w:sz w:val="32"/>
          <w:szCs w:val="32"/>
        </w:rPr>
        <w:t>（四）提升技术保障水平</w:t>
      </w:r>
      <w:bookmarkEnd w:id="304"/>
      <w:bookmarkEnd w:id="305"/>
      <w:bookmarkEnd w:id="306"/>
      <w:bookmarkEnd w:id="307"/>
      <w:bookmarkEnd w:id="308"/>
      <w:bookmarkEnd w:id="309"/>
      <w:bookmarkEnd w:id="310"/>
    </w:p>
    <w:p>
      <w:pPr>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充分发挥科技创新在节约用水工作中的引领作用，加强各行业各领域的合作交流，不断提升科技支撑保障能力。加强顶层设计，针对节约用水的重大科技问题和重大基础问题，组织实施科技计划进行重点攻关突破，加强成果转化应用。</w:t>
      </w:r>
      <w:r>
        <w:rPr>
          <w:rFonts w:hint="default" w:ascii="Times New Roman" w:hAnsi="Times New Roman" w:eastAsia="仿宋_GB2312" w:cs="Times New Roman"/>
          <w:b/>
          <w:bCs/>
          <w:sz w:val="32"/>
          <w:szCs w:val="32"/>
        </w:rPr>
        <w:t>（牵头单位：</w:t>
      </w:r>
      <w:r>
        <w:rPr>
          <w:rFonts w:hint="default" w:eastAsia="仿宋_GB2312" w:cs="Times New Roman"/>
          <w:b/>
          <w:bCs/>
          <w:sz w:val="32"/>
          <w:szCs w:val="32"/>
        </w:rPr>
        <w:t>市科技局</w:t>
      </w:r>
      <w:r>
        <w:rPr>
          <w:rFonts w:hint="default" w:ascii="Times New Roman" w:hAnsi="Times New Roman" w:eastAsia="仿宋_GB2312" w:cs="Times New Roman"/>
          <w:b/>
          <w:bCs/>
          <w:sz w:val="32"/>
          <w:szCs w:val="32"/>
        </w:rPr>
        <w:t>；参与单位：市发展改革委、市水利局、</w:t>
      </w:r>
      <w:r>
        <w:rPr>
          <w:rFonts w:hint="default" w:eastAsia="仿宋_GB2312" w:cs="Times New Roman"/>
          <w:b/>
          <w:bCs/>
          <w:sz w:val="32"/>
          <w:szCs w:val="32"/>
        </w:rPr>
        <w:t>市经信局</w:t>
      </w:r>
      <w:r>
        <w:rPr>
          <w:rFonts w:hint="default" w:ascii="Times New Roman" w:hAnsi="Times New Roman" w:eastAsia="仿宋_GB2312" w:cs="Times New Roman"/>
          <w:b/>
          <w:bCs/>
          <w:sz w:val="32"/>
          <w:szCs w:val="32"/>
        </w:rPr>
        <w:t>、市自然资源和规划局、</w:t>
      </w:r>
      <w:r>
        <w:rPr>
          <w:rFonts w:hint="default" w:eastAsia="仿宋_GB2312" w:cs="Times New Roman"/>
          <w:b/>
          <w:bCs/>
          <w:sz w:val="32"/>
          <w:szCs w:val="32"/>
        </w:rPr>
        <w:t>市住房城乡建设局</w:t>
      </w:r>
      <w:r>
        <w:rPr>
          <w:rFonts w:hint="default" w:ascii="Times New Roman" w:hAnsi="Times New Roman" w:eastAsia="仿宋_GB2312" w:cs="Times New Roman"/>
          <w:b/>
          <w:bCs/>
          <w:sz w:val="32"/>
          <w:szCs w:val="32"/>
        </w:rPr>
        <w:t>、市农业农村局、</w:t>
      </w:r>
      <w:r>
        <w:rPr>
          <w:rFonts w:hint="default" w:eastAsia="仿宋_GB2312" w:cs="Times New Roman"/>
          <w:b/>
          <w:bCs/>
          <w:sz w:val="32"/>
          <w:szCs w:val="32"/>
        </w:rPr>
        <w:t>市市场监管局</w:t>
      </w:r>
      <w:r>
        <w:rPr>
          <w:rFonts w:hint="default" w:ascii="Times New Roman" w:hAnsi="Times New Roman" w:eastAsia="仿宋_GB2312" w:cs="Times New Roman"/>
          <w:b/>
          <w:bCs/>
          <w:sz w:val="32"/>
          <w:szCs w:val="32"/>
        </w:rPr>
        <w:t>）</w:t>
      </w:r>
    </w:p>
    <w:p>
      <w:pPr>
        <w:pStyle w:val="2"/>
        <w:rPr>
          <w:rFonts w:hint="default"/>
        </w:rPr>
      </w:pPr>
    </w:p>
    <w:p>
      <w:pPr>
        <w:pStyle w:val="2"/>
        <w:ind w:left="0" w:leftChars="0" w:firstLine="0" w:firstLineChars="0"/>
        <w:rPr>
          <w:rFonts w:hint="eastAsia" w:ascii="方正小标宋_GBK" w:hAnsi="方正小标宋_GBK" w:eastAsia="方正小标宋_GBK" w:cs="方正小标宋_GBK"/>
          <w:sz w:val="32"/>
          <w:szCs w:val="32"/>
          <w:lang w:eastAsia="zh-CN"/>
        </w:rPr>
      </w:pPr>
      <w:r>
        <w:rPr>
          <w:rFonts w:hint="eastAsia" w:ascii="黑体" w:hAnsi="黑体" w:eastAsia="黑体" w:cs="黑体"/>
          <w:sz w:val="32"/>
          <w:szCs w:val="32"/>
          <w:lang w:eastAsia="zh-CN"/>
        </w:rPr>
        <w:t>信息公开选项：</w:t>
      </w:r>
      <w:r>
        <w:rPr>
          <w:rFonts w:hint="default" w:ascii="方正小标宋_GBK" w:hAnsi="方正小标宋_GBK" w:eastAsia="方正小标宋_GBK" w:cs="方正小标宋_GBK"/>
          <w:sz w:val="32"/>
          <w:szCs w:val="32"/>
          <w:lang w:eastAsia="zh-CN"/>
        </w:rPr>
        <w:t>依申请</w:t>
      </w:r>
      <w:r>
        <w:rPr>
          <w:rFonts w:hint="eastAsia" w:ascii="方正小标宋_GBK" w:hAnsi="方正小标宋_GBK" w:eastAsia="方正小标宋_GBK" w:cs="方正小标宋_GBK"/>
          <w:sz w:val="32"/>
          <w:szCs w:val="32"/>
          <w:lang w:eastAsia="zh-CN"/>
        </w:rPr>
        <w:t>公开</w:t>
      </w:r>
    </w:p>
    <w:tbl>
      <w:tblPr>
        <w:tblStyle w:val="19"/>
        <w:tblW w:w="8850" w:type="dxa"/>
        <w:tblInd w:w="109"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50" w:type="dxa"/>
          </w:tcPr>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280" w:firstLineChars="100"/>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28"/>
                <w:szCs w:val="28"/>
                <w:vertAlign w:val="baseline"/>
                <w:lang w:eastAsia="zh-CN"/>
              </w:rPr>
              <w:t>巴中市发展和改革委员会办公室</w:t>
            </w:r>
            <w:r>
              <w:rPr>
                <w:rFonts w:hint="default" w:ascii="Times New Roman" w:hAnsi="Times New Roman" w:eastAsia="仿宋_GB2312" w:cs="Times New Roman"/>
                <w:sz w:val="28"/>
                <w:szCs w:val="28"/>
                <w:vertAlign w:val="baseline"/>
                <w:lang w:val="en-US" w:eastAsia="zh-CN"/>
              </w:rPr>
              <w:t xml:space="preserve">         </w:t>
            </w:r>
            <w:r>
              <w:rPr>
                <w:rFonts w:hint="eastAsia" w:ascii="Times New Roman" w:hAnsi="Times New Roman" w:eastAsia="仿宋_GB2312" w:cs="Times New Roman"/>
                <w:sz w:val="28"/>
                <w:szCs w:val="28"/>
                <w:vertAlign w:val="baseline"/>
                <w:lang w:val="en-US" w:eastAsia="zh-CN"/>
              </w:rPr>
              <w:t xml:space="preserve">  </w:t>
            </w:r>
            <w:r>
              <w:rPr>
                <w:rFonts w:hint="default" w:ascii="Times New Roman" w:hAnsi="Times New Roman" w:eastAsia="仿宋_GB2312" w:cs="Times New Roman"/>
                <w:sz w:val="28"/>
                <w:szCs w:val="28"/>
                <w:vertAlign w:val="baseline"/>
                <w:lang w:val="en-US" w:eastAsia="zh-CN"/>
              </w:rPr>
              <w:t>2022年5月5日印发</w:t>
            </w:r>
          </w:p>
        </w:tc>
      </w:tr>
    </w:tbl>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sz w:val="32"/>
          <w:szCs w:val="32"/>
        </w:rPr>
      </w:pPr>
    </w:p>
    <w:sectPr>
      <w:pgSz w:w="11906" w:h="16838"/>
      <w:pgMar w:top="2098" w:right="1474" w:bottom="1984" w:left="1587" w:header="851" w:footer="1361" w:gutter="0"/>
      <w:cols w:space="0" w:num="1"/>
      <w:rtlGutter w:val="0"/>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华光仿宋二_CNKI">
    <w:altName w:val="方正仿宋_GBK"/>
    <w:panose1 w:val="02000500000000000000"/>
    <w:charset w:val="86"/>
    <w:family w:val="auto"/>
    <w:pitch w:val="default"/>
    <w:sig w:usb0="00000000" w:usb1="00000000"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ascii="宋体" w:hAnsi="宋体" w:eastAsia="宋体"/>
        <w:color w:val="000000"/>
        <w:sz w:val="28"/>
        <w:szCs w:val="28"/>
      </w:rPr>
    </w:pPr>
    <w:r>
      <w:rPr>
        <w:sz w:val="28"/>
      </w:rPr>
      <mc:AlternateContent>
        <mc:Choice Requires="wps">
          <w:drawing>
            <wp:anchor distT="0" distB="0" distL="114300" distR="114300" simplePos="0" relativeHeight="2516951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28"/>
        <w:szCs w:val="28"/>
      </w:rPr>
      <mc:AlternateContent>
        <mc:Choice Requires="wps">
          <w:drawing>
            <wp:anchor distT="0" distB="0" distL="114300" distR="114300" simplePos="0" relativeHeight="2516940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xXU/0tAgAAVwQAAA4AAAAAAAAAAQAgAAAAHwEAAGRycy9lMm9Eb2MueG1sUEsFBgAAAAAG&#10;AAYAWQEAAL4FA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930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Bpj0tAgAAV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SBpj0tAgAAVwQAAA4AAAAAAAAAAQAgAAAAHwEAAGRycy9lMm9Eb2MueG1sUEsFBgAAAAAG&#10;AAYAWQEAAL4FA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920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XByfI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pcHJ8iwCAABXBAAADgAAAAAAAAABACAAAAAfAQAAZHJzL2Uyb0RvYy54bWxQSwUGAAAAAAYA&#10;BgBZAQAAvQU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910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0XPDI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dFzwyKwIAAFcEAAAOAAAAAAAAAAEAIAAAAB8BAABkcnMvZTJvRG9jLnhtbFBLBQYAAAAABgAG&#10;AFkBAAC8BQ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899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DusZ8tAgAAVwQAAA4AAABkcnMvZTJvRG9jLnhtbK1UzY7TMBC+I/EO&#10;lu80aRFLqZ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Os3lGimUPHT92+n&#10;H79OP78SnEGg1voZ4jYWkaF7azq0zXDucRh5d5VT8QtGBH7Ie7zIK7pAeLw0nUynOVwcvmED/Ozh&#10;unU+vBNGkWgU1KF+SVZ2uPWhDx1CYjZt1o2UqYZSk7agVy9f5e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DusZ8tAgAAVwQAAA4AAAAAAAAAAQAgAAAAHwEAAGRycy9lMm9Eb2MueG1sUEsFBgAAAAAG&#10;AAYAWQEAAL4FA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889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RKA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gfkSgKwIAAFcEAAAOAAAAAAAAAAEAIAAAAB8BAABkcnMvZTJvRG9jLnhtbFBLBQYAAAAABgAG&#10;AFkBAAC8BQ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879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gzF+A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Wx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IMxfgKwIAAFcEAAAOAAAAAAAAAAEAIAAAAB8BAABkcnMvZTJvRG9jLnhtbFBLBQYAAAAABgAG&#10;AFkBAAC8BQ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869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Dl4iA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8OXiICwCAABX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858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osWA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Z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iosWA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848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FOeHo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f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FOeHo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838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LgtAgAAVwQAAA4AAABkcnMvZTJvRG9jLnhtbK1UzY7TMBC+I/EO&#10;lu80aVes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Q/Lg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828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2NaItAgAAVwQAAA4AAABkcnMvZTJvRG9jLnhtbK1UzY7TMBC+I/EO&#10;lu80aYFVqZ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JtXlGimUPHT92+n&#10;H79OP78SnEGg1voZ4jYWkaF7azq0zXDucRh5d5VT8QtGBH7Ie7zIK7pAeLw0nUynOVwcvmED/Ozh&#10;unU+vBNGkWgU1KF+SVZ2uPWhDx1CYjZt1o2UqYZSk7agVy9f5+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Y2NaI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817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57ZuItAgAAVwQAAA4AAABkcnMvZTJvRG9jLnhtbK1UzY7TMBC+I/EO&#10;lu80adGu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57ZuI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807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atkyItAgAAVw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6DbLwlbvLI/Q&#10;UTxvV8cAAVtdoyidEr1W6Le2Mv1sxIb+c99GPf4P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atkyI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01714145"/>
                          </w:sdtPr>
                          <w:sdtContent>
                            <w:p>
                              <w:pPr>
                                <w:pStyle w:val="11"/>
                                <w:ind w:firstLine="360"/>
                                <w:jc w:val="center"/>
                              </w:pPr>
                            </w:p>
                          </w:sdtContent>
                        </w:sdt>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gwGItAgAAVwQAAA4AAABkcnMvZTJvRG9jLnhtbK1UzY7TMBC+I/EO&#10;lu80aRFLqZ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JvXlGimUPHT92+n&#10;H79OP78SnEGg1voZ4jYWkaF7azq0zXDucRh5d5VT8QtGBH7Ie7zIK7pAeLw0nUynOVwcvmED/Ozh&#10;unU+vBNGkWgU1KF+SVZ2uPWhDx1CYjZt1o2UqYZSk7agVy9f5e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7gwGItAgAAVwQAAA4AAAAAAAAAAQAgAAAAHwEAAGRycy9lMm9Eb2MueG1sUEsFBgAAAAAG&#10;AAYAWQEAAL4FAAAAAA==&#10;">
              <v:fill on="f" focussize="0,0"/>
              <v:stroke on="f" weight="0.5pt"/>
              <v:imagedata o:title=""/>
              <o:lock v:ext="edit" aspectratio="f"/>
              <v:textbox inset="0mm,0mm,0mm,0mm" style="mso-fit-shape-to-text:t;">
                <w:txbxContent>
                  <w:sdt>
                    <w:sdtPr>
                      <w:id w:val="-1101714145"/>
                    </w:sdtPr>
                    <w:sdtContent>
                      <w:p>
                        <w:pPr>
                          <w:pStyle w:val="11"/>
                          <w:ind w:firstLine="360"/>
                          <w:jc w:val="center"/>
                        </w:pPr>
                      </w:p>
                    </w:sdtContent>
                  </w:sdt>
                  <w:p>
                    <w:pPr>
                      <w:ind w:firstLine="64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asciiTheme="majorEastAsia" w:hAnsiTheme="majorEastAsia" w:eastAsiaTheme="majorEastAsia" w:cstheme="majorEastAsia"/>
        <w:sz w:val="28"/>
        <w:szCs w:val="28"/>
      </w:rPr>
      <w:t xml:space="preserve"> </w: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ascii="宋体" w:hAnsi="宋体" w:eastAsia="宋体"/>
        <w:color w:val="000000"/>
        <w:sz w:val="28"/>
        <w:szCs w:val="28"/>
      </w:rPr>
    </w:pPr>
    <w:r>
      <w:rPr>
        <w:sz w:val="28"/>
      </w:rPr>
      <mc:AlternateContent>
        <mc:Choice Requires="wps">
          <w:drawing>
            <wp:anchor distT="0" distB="0" distL="114300" distR="114300" simplePos="0" relativeHeight="2517125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125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28"/>
        <w:szCs w:val="28"/>
      </w:rPr>
      <mc:AlternateContent>
        <mc:Choice Requires="wps">
          <w:drawing>
            <wp:anchor distT="0" distB="0" distL="114300" distR="114300" simplePos="0" relativeHeight="2517114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114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104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094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084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073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063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053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0uKU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u0uKU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043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E1eNA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sTV40CwCAABX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032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4K5A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l4K5A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022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qPGc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pSo8ZywCAABX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012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1nbycsAgAAVwQAAA4AAABkcnMvZTJvRG9jLnhtbK1UzY7TMBC+I/EO&#10;lu80bVes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n31dpwuXDwAlxo5Iomu2GiFdtf2zHam&#10;OIGYM91seMs3NZJvmQ/3zGEYUDCeS7jDUkqDJKa3KKmM+/qv8xiPHsFLSYPhyqnGW6JEftDoHQDD&#10;YLjB2A2GPqhbg2lFO1BLMnHBBTmYpTPqC97QKuaAi2mOTDkNg3kbugHHG+RitUpBmDbLwlY/WB6h&#10;o3jerg4BAiZdoyidEr1WmLfUmf5txIH+c5+inv4Hy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DWdvJywCAABX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002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xmuc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OrK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Wxmuc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992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38yactAgAAV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38yac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981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QaAL0tAgAAVw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pkQzhYqfvn87&#10;/fh1+vmV4AwCtdbPEPdgERm6t6ZD2wznHoeRd1c5Fb9gROCHvMeLvKILhMdL08l0msPF4Rs2wM8e&#10;r1vnwzthFIlGQR3ql2Rlh40PfegQErNps26kTDWUmrQFvb56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QaAL0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971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01714145"/>
                          </w:sdtPr>
                          <w:sdtContent>
                            <w:p>
                              <w:pPr>
                                <w:pStyle w:val="11"/>
                                <w:ind w:firstLine="360"/>
                                <w:jc w:val="center"/>
                              </w:pPr>
                            </w:p>
                          </w:sdtContent>
                        </w:sdt>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zM9X0tAgAAVwQAAA4AAABkcnMvZTJvRG9jLnhtbK1UzY7TMBC+I/EO&#10;lu80aVcs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LzM9X0tAgAAVwQAAA4AAAAAAAAAAQAgAAAAHwEAAGRycy9lMm9Eb2MueG1sUEsFBgAAAAAG&#10;AAYAWQEAAL4FAAAAAA==&#10;">
              <v:fill on="f" focussize="0,0"/>
              <v:stroke on="f" weight="0.5pt"/>
              <v:imagedata o:title=""/>
              <o:lock v:ext="edit" aspectratio="f"/>
              <v:textbox inset="0mm,0mm,0mm,0mm" style="mso-fit-shape-to-text:t;">
                <w:txbxContent>
                  <w:sdt>
                    <w:sdtPr>
                      <w:id w:val="-1101714145"/>
                    </w:sdtPr>
                    <w:sdtContent>
                      <w:p>
                        <w:pPr>
                          <w:pStyle w:val="11"/>
                          <w:ind w:firstLine="360"/>
                          <w:jc w:val="center"/>
                        </w:pPr>
                      </w:p>
                    </w:sdtContent>
                  </w:sdt>
                  <w:p>
                    <w:pPr>
                      <w:ind w:firstLine="640"/>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ascii="宋体" w:hAnsi="宋体" w:eastAsia="宋体"/>
        <w:color w:val="000000"/>
        <w:sz w:val="28"/>
        <w:szCs w:val="28"/>
      </w:rPr>
    </w:pPr>
    <w:r>
      <w:rPr>
        <w:sz w:val="28"/>
      </w:rPr>
      <mc:AlternateContent>
        <mc:Choice Requires="wps">
          <w:drawing>
            <wp:anchor distT="0" distB="0" distL="114300" distR="114300" simplePos="0" relativeHeight="2517288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88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28"/>
        <w:szCs w:val="28"/>
      </w:rPr>
      <mc:AlternateContent>
        <mc:Choice Requires="wps">
          <w:drawing>
            <wp:anchor distT="0" distB="0" distL="114300" distR="114300" simplePos="0" relativeHeight="2517278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7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LTQM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BJJopVPz04/vp&#10;58Pp1zeCMwjUWj9D3L1FZOjemQ5tM5x7HEbeXeVU/IIRgR9Yx4u8oguEx0vTyXSaw8XhGzbAzx6v&#10;W+fDe2EUiUZBHeqXZGWHjQ996BASs2mzbqRMNZSatAW9ev02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0tNAywCAABXBAAADgAAAAAAAAABACAAAAAfAQAAZHJzL2Uyb0RvYy54bWxQSwUGAAAAAAYA&#10;BgBZAQAAvQU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268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6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GHkMsAgAAVwQAAA4AAABkcnMvZTJvRG9jLnhtbK1UzY7TMBC+I/EO&#10;lu80aYFV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wYeQywCAABXBAAADgAAAAAAAAABACAAAAAfAQAAZHJzL2Uyb0RvYy54bWxQSwUGAAAAAAYA&#10;BgBZAQAAvQU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258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5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Q64M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Z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PQ64MtAgAAVwQAAA4AAAAAAAAAAQAgAAAAHwEAAGRycy9lMm9Eb2MueG1sUEsFBgAAAAAG&#10;AAYAWQEAAL4FA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248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4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duMMtAgAAVw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okQzhYqfvn87&#10;/fh1+vmV4AwCtdbPEPdgERm6t6ZD2wznHoeRd1c5Fb9gROCHvMeLvKILhMdL08l0msPF4Rs2wM8e&#10;r1vnwzthFIlGQR3ql2Rlh40PfegQErNps26kTDWUmrQFvb56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uduMMtAgAAVwQAAA4AAAAAAAAAAQAgAAAAHwEAAGRycy9lMm9Eb2MueG1sUEsFBgAAAAAG&#10;AAYAWQEAAL4FA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237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3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J7cdktAgAAV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J7cdktAgAAVwQAAA4AAAAAAAAAAQAgAAAAHwEAAGRycy9lMm9Eb2MueG1sUEsFBgAAAAAG&#10;AAYAWQEAAL4FA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22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o2IpktAgAAV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o2Ipk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217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17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Lg11ktAgAAV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6DbLwlbvLI/Q&#10;UTxvV8cAAVtdoyidEr1W6Le2Mv1sxIb+c99GPf4P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Lg11k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207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07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qthBktAgAAVwQAAA4AAABkcnMvZTJvRG9jLnhtbK1UzY7TMBC+I/EO&#10;lu80aYGlqp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Ks3lGimUPHT92+n&#10;H79OP78SnEGg1voZ4jYWkaF7azq0zXDucRh5d5VT8QtGBH7Ie7zIK7pAeLw0nUynOVwcvmED/Ozh&#10;unU+vBNGkWgU1KF+SVZ2uPWhDx1CYjZt1o2UqYZSk7agVy9f5+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qthBk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196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196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sRGw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ACxEbCwCAABX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186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186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hhFywtAgAAVwQAAA4AAABkcnMvZTJvRG9jLnhtbK1UzY7TMBC+I/EO&#10;lu80aYFVqZ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Ks3lGimUPHT92+n&#10;H79OP78SnEGg1voZ4jYWkaF7azq0zXDucRh5d5VT8QtGBH7Ie7zIK7pAeLw0nUynOVwcvmED/Ozh&#10;unU+vBNGkWgU1KF+SVZ2uPWhDx1CYjZt1o2UqYZSk7agVy9f5+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hhFyw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176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176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UMwDbKwIAAFcEAAAOAAAAAAAAAAEAIAAAAB8BAABkcnMvZTJvRG9jLnhtbFBLBQYAAAAABgAG&#10;AFkBAAC8BQ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166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x+U5ssAgAAV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mDbLwlY/WB6h&#10;o3jerg4BAiZdoyidEr1WmLfUmf5txIH+c5+inv4Hy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H5TmywCAABX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155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15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Sopls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OrK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Sopls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145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145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zl9Rs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135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01714145"/>
                          </w:sdtPr>
                          <w:sdtContent>
                            <w:p>
                              <w:pPr>
                                <w:pStyle w:val="11"/>
                                <w:ind w:firstLine="360"/>
                                <w:jc w:val="center"/>
                              </w:pPr>
                            </w:p>
                          </w:sdtContent>
                        </w:sdt>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135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DPAEtAgAAV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UDPAEtAgAAVwQAAA4AAAAAAAAAAQAgAAAAHwEAAGRycy9lMm9Eb2MueG1sUEsFBgAAAAAG&#10;AAYAWQEAAL4FAAAAAA==&#10;">
              <v:fill on="f" focussize="0,0"/>
              <v:stroke on="f" weight="0.5pt"/>
              <v:imagedata o:title=""/>
              <o:lock v:ext="edit" aspectratio="f"/>
              <v:textbox inset="0mm,0mm,0mm,0mm" style="mso-fit-shape-to-text:t;">
                <w:txbxContent>
                  <w:sdt>
                    <w:sdtPr>
                      <w:id w:val="-1101714145"/>
                    </w:sdtPr>
                    <w:sdtContent>
                      <w:p>
                        <w:pPr>
                          <w:pStyle w:val="11"/>
                          <w:ind w:firstLine="360"/>
                          <w:jc w:val="center"/>
                        </w:pPr>
                      </w:p>
                    </w:sdtContent>
                  </w:sdt>
                  <w:p>
                    <w:pPr>
                      <w:ind w:firstLine="640"/>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ascii="宋体" w:hAnsi="宋体" w:eastAsia="宋体"/>
        <w:color w:val="000000"/>
        <w:sz w:val="28"/>
        <w:szCs w:val="28"/>
      </w:rPr>
    </w:pPr>
    <w:r>
      <w:rPr>
        <w:sz w:val="28"/>
      </w:rPr>
      <mc:AlternateContent>
        <mc:Choice Requires="wps">
          <w:drawing>
            <wp:anchor distT="0" distB="0" distL="114300" distR="114300" simplePos="0" relativeHeight="2517452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452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28"/>
        <w:szCs w:val="28"/>
      </w:rPr>
      <mc:AlternateContent>
        <mc:Choice Requires="wps">
          <w:drawing>
            <wp:anchor distT="0" distB="0" distL="114300" distR="114300" simplePos="0" relativeHeight="2517442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442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3VycEtAgAAV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A3VycEtAgAAVwQAAA4AAAAAAAAAAQAgAAAAHwEAAGRycy9lMm9Eb2MueG1sUEsFBgAAAAAG&#10;AAYAWQEAAL4FA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432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432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UCbQ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QrdZFrb6wfII&#10;HcXzdnUIEDDpGkXplOi1Qr+lyvSzERv6z32Kevof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dUCbQtAgAAVwQAAA4AAAAAAAAAAQAgAAAAHwEAAGRycy9lMm9Eb2MueG1sUEsFBgAAAAAG&#10;AAYAWQEAAL4FA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422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422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ZWvQtAgAAVwQAAA4AAABkcnMvZTJvRG9jLnhtbK1UzY7TMBC+I/EO&#10;lu80adGu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8ZWvQtAgAAVwQAAA4AAAAAAAAAAQAgAAAAHwEAAGRycy9lMm9Eb2MueG1sUEsFBgAAAAAG&#10;AAYAWQEAAL4FA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411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411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y8pmg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DsvKZoKwIAAFcEAAAOAAAAAAAAAAEAIAAAAB8BAABkcnMvZTJvRG9jLnhtbFBLBQYAAAAABgAG&#10;AFkBAAC8BQ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401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401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Tx9Sg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E8fUoKwIAAFcEAAAOAAAAAAAAAAEAIAAAAB8BAABkcnMvZTJvRG9jLnhtbFBLBQYAAAAABgAG&#10;AFkBAAC8BQ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391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391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nAOg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mlGimUPHL92+X&#10;H78uP78SnEGgxvo54nYWkaF9a1q0zXDucRh5t6VT8QtGBH7Ie77KK9pAeLw0m85mY7g4fMMG+Nnj&#10;det8eCeMItHIqUP9kqzstPWhCx1CYjZtNrWUqYZSkwYk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8JwDoKwIAAFcEAAAOAAAAAAAAAAEAIAAAAB8BAABkcnMvZTJvRG9jLnhtbFBLBQYAAAAABgAG&#10;AFkBAAC8BQ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381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381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qU6g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UalOoKwIAAFcEAAAOAAAAAAAAAAEAIAAAAB8BAABkcnMvZTJvRG9jLnhtbFBLBQYAAAAABgAG&#10;AFkBAAC8BQ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370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370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2MmrI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l69oUQzhYqffnw/&#10;/Xw4/fpGcAaBWutniLu3iAzdO9OhbYZzj8PIu6ucil8wIvBD3uNFXtEFwuOl6WQ6zeHi8A0b4GeP&#10;163z4b0wikSjoA71S7Kyw8aHPnQIidm0WTdSphpKTVqQeP02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DYyasiwCAABX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360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360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ab3I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l69pUQzhYqffnw/&#10;/Xw4/fpGcAaBWutniLu3iAzdO9OhbYZzj8PIu6ucil8wIvBD3uNFXtEFwuOl6WQ6zeHi8A0b4GeP&#10;163z4b0wikSjoA71S7Kyw8aHPnQIidm0WTdSphpKTVqQeP0m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9VpvciwCAABX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350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350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brwc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v268HKwIAAFcEAAAOAAAAAAAAAAEAIAAAAB8BAABkcnMvZTJvRG9jLnhtbFBLBQYAAAAABgAG&#10;AFkBAAC8BQ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340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340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W/Ec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l69pUQzhYqffnw/&#10;/Xw4/fpGcAaBWutniLu3iAzdO9OhbYZzj8PIu6ucil8wIvBD3uNFXtEFwuOl6WQ6zeHi8A0b4GeP&#10;163z4b0wikSjoA71S7Kyw8aHPnQIidm0WTdSphpKTVqQeP0m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x5b8RywCAABX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329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32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vE67A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FJJopVPz04/vp&#10;58Pp1zeCMwjUWj9D3L1FZOjemQ5tM5x7HEbeXeVU/IIRgR9Yx4u8oguEx0vTyXSaw8XhGzbAzx6v&#10;W+fDe2EUiUZBHeqXZGWHjQ996BASs2mzbqRMNZSatAW9ev0m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e8TrsCwCAABX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319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319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JuPAsAgAAVwQAAA4AAABkcnMvZTJvRG9jLnhtbK1UzY7TMBC+I/EO&#10;lu80aRFL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auSIJPpioxW6bXdmtjXl&#10;EcSc6WfDW75ukHzDfLhjDsOAgvFcwi2WShokMWeLktq4r/86j/HoEbyUtBiugmq8JUrkB43eATAM&#10;hhuM7WDovboxmFa0A7UkExdckINZOaO+4A0tYw64mObIVNAwmDehH3C8QS6WyxSEabMsbPS95RE6&#10;iuftch8gYNI1itIrcdYK85Y6c34bcaD/3Keox//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4m48CwCAABX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309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309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fTTA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dUK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tfTTA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299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01714145"/>
                          </w:sdtPr>
                          <w:sdtContent>
                            <w:p>
                              <w:pPr>
                                <w:pStyle w:val="11"/>
                                <w:ind w:firstLine="360"/>
                                <w:jc w:val="center"/>
                              </w:pPr>
                            </w:p>
                          </w:sdtContent>
                        </w:sdt>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99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MSHnAtAgAAVwQAAA4AAABkcnMvZTJvRG9jLnhtbK1UzY7TMBC+I/EO&#10;lu80aVcs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MSHnAtAgAAVwQAAA4AAAAAAAAAAQAgAAAAHwEAAGRycy9lMm9Eb2MueG1sUEsFBgAAAAAG&#10;AAYAWQEAAL4FAAAAAA==&#10;">
              <v:fill on="f" focussize="0,0"/>
              <v:stroke on="f" weight="0.5pt"/>
              <v:imagedata o:title=""/>
              <o:lock v:ext="edit" aspectratio="f"/>
              <v:textbox inset="0mm,0mm,0mm,0mm" style="mso-fit-shape-to-text:t;">
                <w:txbxContent>
                  <w:sdt>
                    <w:sdtPr>
                      <w:id w:val="-1101714145"/>
                    </w:sdtPr>
                    <w:sdtContent>
                      <w:p>
                        <w:pPr>
                          <w:pStyle w:val="11"/>
                          <w:ind w:firstLine="360"/>
                          <w:jc w:val="center"/>
                        </w:pPr>
                      </w:p>
                    </w:sdtContent>
                  </w:sdt>
                  <w:p>
                    <w:pPr>
                      <w:ind w:firstLine="640"/>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ascii="宋体" w:hAnsi="宋体" w:eastAsia="宋体"/>
        <w:color w:val="000000"/>
        <w:sz w:val="28"/>
        <w:szCs w:val="28"/>
      </w:rPr>
    </w:pPr>
    <w:r>
      <w:rPr>
        <w:sz w:val="28"/>
        <w:szCs w:val="2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KFVW4tAgAAWQQAAA4AAAAAAAAAAQAgAAAAHwEAAGRycy9lMm9Eb2MueG1sUEsFBgAAAAAG&#10;AAYAWQEAAL4FA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kc4SYtAgAAWQ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kc4SYtAgAAWQQAAA4AAAAAAAAAAQAgAAAAHwEAAGRycy9lMm9Eb2MueG1sUEsFBgAAAAAG&#10;AAYAWQEAAL4FA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dDzXstAgAAWQQAAA4AAAAAAAAAAQAgAAAAHwEAAGRycy9lMm9Eb2MueG1sUEsFBgAAAAAG&#10;AAYAWQEAAL4FA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laO5nCwCAABZBAAADgAAAAAAAAABACAAAAAfAQAAZHJzL2Uyb0RvYy54bWxQSwUGAAAAAAYA&#10;BgBZAQAAvQU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v8lcEtAgAAWQ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v8lcEtAgAAWQ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A5DQDSwCAABZ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9" name="文本框 1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3P/FAtAgAAWQ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3P/FAtAgAAWQ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CGzs4sAgAAW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IbOziwCAABZ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7Z4pMsAgAAW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tnikywCAABZ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2" name="文本框 1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5lnQsAgAAW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TDmWdCwCAABZ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3" name="文本框 1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muiktAgAAWQ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JmuiktAgAAWQ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4" name="文本框 1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DmEtAgAAWQ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n/DmEtAgAAWQ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5" name="文本框 1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egIjwtAgAAW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egIjwtAgAAWQ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6" name="文本框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4643023"/>
                          </w:sdtPr>
                          <w:sdtContent>
                            <w:p>
                              <w:pPr>
                                <w:pStyle w:val="11"/>
                                <w:ind w:firstLine="360"/>
                                <w:jc w:val="center"/>
                              </w:pPr>
                            </w:p>
                          </w:sdtContent>
                        </w:sdt>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AVtssAgAAW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tUBW2ywCAABZBAAADgAAAAAAAAABACAAAAAfAQAAZHJzL2Uyb0RvYy54bWxQSwUGAAAAAAYA&#10;BgBZAQAAvQUAAAAA&#10;">
              <v:fill on="f" focussize="0,0"/>
              <v:stroke on="f" weight="0.5pt"/>
              <v:imagedata o:title=""/>
              <o:lock v:ext="edit" aspectratio="f"/>
              <v:textbox inset="0mm,0mm,0mm,0mm" style="mso-fit-shape-to-text:t;">
                <w:txbxContent>
                  <w:sdt>
                    <w:sdtPr>
                      <w:id w:val="-24643023"/>
                    </w:sdtPr>
                    <w:sdtContent>
                      <w:p>
                        <w:pPr>
                          <w:pStyle w:val="11"/>
                          <w:ind w:firstLine="360"/>
                          <w:jc w:val="center"/>
                        </w:pPr>
                      </w:p>
                    </w:sdtContent>
                  </w:sdt>
                  <w:p>
                    <w:pPr>
                      <w:ind w:firstLine="640"/>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GCXg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FJJopVPz04/vp&#10;58Pp1zeCMwjUWj9D3L1FZOjemQ5tM5x7HEbeXeVU/IIRgR9Yx4u8oguEx0vTyXSaw8XhGzbAzx6v&#10;W+fDe2EUiUZBHeqXZGWHjQ996BASs2mzbqRMNZSatAW9ev0m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wYJeCwCAABXBAAADgAAAAAAAAABACAAAAAfAQAAZHJzL2Uyb0RvYy54bWxQSwUGAAAAAAYA&#10;BgBZAQAAvQUAAAAA&#10;">
              <v:fill on="f" focussize="0,0"/>
              <v:stroke on="f" weight="0.5pt"/>
              <v:imagedata o:title=""/>
              <o:lock v:ext="edit" aspectratio="f"/>
              <v:textbox inset="0mm,0mm,0mm,0mm" style="mso-fit-shape-to-text:t;">
                <w:txbxContent>
                  <w:p>
                    <w:pPr>
                      <w:pStyle w:val="11"/>
                      <w:ind w:firstLine="360"/>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ascii="宋体" w:hAnsi="宋体" w:eastAsia="宋体"/>
        <w:color w:val="000000"/>
        <w:sz w:val="28"/>
        <w:szCs w:val="28"/>
      </w:rPr>
    </w:pPr>
    <w:r>
      <w:rPr>
        <w:sz w:val="28"/>
        <w:szCs w:val="28"/>
      </w:rPr>
      <mc:AlternateContent>
        <mc:Choice Requires="wps">
          <w:drawing>
            <wp:anchor distT="0" distB="0" distL="114300" distR="114300" simplePos="0" relativeHeight="2517585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585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V3vo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u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EdXe+iwCAABXBAAADgAAAAAAAAABACAAAAAfAQAAZHJzL2Uyb0RvYy54bWxQSwUGAAAAAAYA&#10;BgBZAQAAvQU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585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585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mYjbo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f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LmYjbotAgAAVwQAAA4AAAAAAAAAAQAgAAAAHwEAAGRycy9lMm9Eb2MueG1sUEsFBgAAAAAG&#10;AAYAWQEAAL4FA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575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575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ZTc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IxlNzywCAABXBAAADgAAAAAAAAABACAAAAAfAQAAZHJzL2Uyb0RvYy54bWxQSwUGAAAAAAYA&#10;BgBZAQAAvQU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565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64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565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UHo8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f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tUHo8tAgAAVwQAAA4AAAAAAAAAAQAgAAAAHwEAAGRycy9lMm9Eb2MueG1sUEsFBgAAAAAG&#10;AAYAWQEAAL4FAAAAAA==&#10;">
              <v:fill on="f" focussize="0,0"/>
              <v:stroke on="f" weight="0.5pt"/>
              <v:imagedata o:title=""/>
              <o:lock v:ext="edit" aspectratio="f"/>
              <v:textbox inset="0mm,0mm,0mm,0mm" style="mso-fit-shape-to-text:t;">
                <w:txbxContent>
                  <w:p>
                    <w:pPr>
                      <w:tabs>
                        <w:tab w:val="center" w:pos="4153"/>
                        <w:tab w:val="right" w:pos="8306"/>
                      </w:tabs>
                      <w:ind w:firstLine="64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555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555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9LWjgsAgAAVwQAAA4AAABkcnMvZTJvRG9jLnhtbK1UzY7TMBC+I/EO&#10;lu80aRGrUj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auSIJPpioxW6bXdmtjXl&#10;EcSc6WfDW75ukHzDfLhjDsOAgvFcwi2WShokMWeLktq4r/86j/HoEbyUtBiugmq8JUrkB43eATAM&#10;hhuM7WDovboxmFa0A7UkExdckINZOaO+4A0tYw64mObIVNAwmDehH3C8QS6WyxSEabMsbPS95RE6&#10;iuftch8gYNI1itIrcdYK85Y6c34bcaD/3Keox//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0taOCwCAABX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544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544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dr/g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dUK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edr/g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534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53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RhABc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tGEAFywCAABX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524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524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wsU1ctAgAAVw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wsU1c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514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514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lIYkrAgAAW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wZSGJKwIAAFkEAAAOAAAAAAAAAAEAIAAAAB8BAABkcnMvZTJvRG9jLnhtbFBLBQYAAAAABgAG&#10;AFkBAAC8BQ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504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504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XjoN1CwCAABZ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493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493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bNp5MywCAABZ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483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7" name="文本框 1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483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sfeoYtAgAAWQ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sfeoYtAgAAWQ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473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473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NzP0osAgAAW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I3M/SiwCAABZ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7463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4643023"/>
                          </w:sdtPr>
                          <w:sdtContent>
                            <w:p>
                              <w:pPr>
                                <w:pStyle w:val="11"/>
                                <w:ind w:firstLine="360"/>
                                <w:jc w:val="center"/>
                              </w:pPr>
                            </w:p>
                          </w:sdtContent>
                        </w:sdt>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463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0sExctAgAAWQ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0sExctAgAAWQQAAA4AAAAAAAAAAQAgAAAAHwEAAGRycy9lMm9Eb2MueG1sUEsFBgAAAAAG&#10;AAYAWQEAAL4FAAAAAA==&#10;">
              <v:fill on="f" focussize="0,0"/>
              <v:stroke on="f" weight="0.5pt"/>
              <v:imagedata o:title=""/>
              <o:lock v:ext="edit" aspectratio="f"/>
              <v:textbox inset="0mm,0mm,0mm,0mm" style="mso-fit-shape-to-text:t;">
                <w:txbxContent>
                  <w:sdt>
                    <w:sdtPr>
                      <w:id w:val="-24643023"/>
                    </w:sdtPr>
                    <w:sdtContent>
                      <w:p>
                        <w:pPr>
                          <w:pStyle w:val="11"/>
                          <w:ind w:firstLine="360"/>
                          <w:jc w:val="center"/>
                        </w:pPr>
                      </w:p>
                    </w:sdtContent>
                  </w:sdt>
                  <w:p>
                    <w:pPr>
                      <w:ind w:firstLine="640"/>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ascii="宋体" w:hAnsi="宋体" w:eastAsia="宋体"/>
        <w:color w:val="000000"/>
        <w:sz w:val="28"/>
        <w:szCs w:val="28"/>
      </w:rPr>
    </w:pPr>
    <w:r>
      <w:rPr>
        <w:sz w:val="28"/>
      </w:rPr>
      <mc:AlternateContent>
        <mc:Choice Requires="wps">
          <w:drawing>
            <wp:anchor distT="0" distB="0" distL="114300" distR="114300" simplePos="0" relativeHeight="2516961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default" w:ascii="Times New Roman" w:hAnsi="Times New Roman" w:eastAsia="仿宋"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3</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1"/>
                      <w:rPr>
                        <w:rFonts w:hint="default" w:ascii="Times New Roman" w:hAnsi="Times New Roman" w:eastAsia="仿宋"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3</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r>
      <w:rPr>
        <w:sz w:val="28"/>
        <w:szCs w:val="28"/>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012otAgAAVwQAAA4AAABkcnMvZTJvRG9jLnhtbK1UzY7TMBC+I/EO&#10;lu80aYGlqp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JtXlGimUPHT92+n&#10;H79OP78SnEGg1voZ4jYWkaF7azq0zXDucRh5d5VT8QtGBH7Ie7zIK7pAeLw0nUynOVwcvmED/Ozh&#10;unU+vBNGkWgU1KF+SVZ2uPWhDx1CYjZt1o2UqYZSk7agVy9f5+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r012o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5hCotAgAAV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K5hCo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pvceotAgAAVw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6DbLwlbvLI/Q&#10;UTxvV8cAAVtdoyidEr1W6Le2Mv1sxIb+c99GPf4P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pvceo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IiIqotAgAAVw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IiIqotAgAAVwQAAA4AAAAAAAAAAQAgAAAAHwEAAGRycy9lMm9Eb2MueG1sUEsFBgAAAAAG&#10;AAYAWQEAAL4FAAAAAA==&#10;">
              <v:fill on="f" focussize="0,0"/>
              <v:stroke on="f" weight="0.5pt"/>
              <v:imagedata o:title=""/>
              <o:lock v:ext="edit" aspectratio="f"/>
              <v:textbox inset="0mm,0mm,0mm,0mm" style="mso-fit-shape-to-text:t;">
                <w:txbxContent>
                  <w:p>
                    <w:pPr>
                      <w:pStyle w:val="11"/>
                      <w:ind w:firstLine="360"/>
                      <w:jc w:val="center"/>
                    </w:pPr>
                  </w:p>
                  <w:p>
                    <w:pPr>
                      <w:ind w:firstLine="640"/>
                    </w:pPr>
                  </w:p>
                </w:txbxContent>
              </v:textbox>
            </v:shape>
          </w:pict>
        </mc:Fallback>
      </mc:AlternateContent>
    </w:r>
    <w:r>
      <w:rPr>
        <w:sz w:val="28"/>
        <w:szCs w:val="2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8792406"/>
                          </w:sdtPr>
                          <w:sdtContent>
                            <w:p>
                              <w:pPr>
                                <w:pStyle w:val="11"/>
                                <w:ind w:firstLine="360"/>
                                <w:jc w:val="center"/>
                              </w:pPr>
                            </w:p>
                          </w:sdtContent>
                        </w:sdt>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ij4t8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Pi3ywCAABXBAAADgAAAAAAAAABACAAAAAfAQAAZHJzL2Uyb0RvYy54bWxQSwUGAAAAAAYA&#10;BgBZAQAAvQUAAAAA&#10;">
              <v:fill on="f" focussize="0,0"/>
              <v:stroke on="f" weight="0.5pt"/>
              <v:imagedata o:title=""/>
              <o:lock v:ext="edit" aspectratio="f"/>
              <v:textbox inset="0mm,0mm,0mm,0mm" style="mso-fit-shape-to-text:t;">
                <w:txbxContent>
                  <w:sdt>
                    <w:sdtPr>
                      <w:id w:val="108792406"/>
                    </w:sdtPr>
                    <w:sdtContent>
                      <w:p>
                        <w:pPr>
                          <w:pStyle w:val="11"/>
                          <w:ind w:firstLine="360"/>
                          <w:jc w:val="center"/>
                        </w:pPr>
                      </w:p>
                    </w:sdtContent>
                  </w:sdt>
                  <w:p>
                    <w:pPr>
                      <w:ind w:firstLine="64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D986C2"/>
    <w:multiLevelType w:val="singleLevel"/>
    <w:tmpl w:val="A6D986C2"/>
    <w:lvl w:ilvl="0" w:tentative="0">
      <w:start w:val="9"/>
      <w:numFmt w:val="decimal"/>
      <w:suff w:val="nothing"/>
      <w:lvlText w:val="（%1）"/>
      <w:lvlJc w:val="left"/>
    </w:lvl>
  </w:abstractNum>
  <w:abstractNum w:abstractNumId="1">
    <w:nsid w:val="AF654A9D"/>
    <w:multiLevelType w:val="singleLevel"/>
    <w:tmpl w:val="AF654A9D"/>
    <w:lvl w:ilvl="0" w:tentative="0">
      <w:start w:val="1"/>
      <w:numFmt w:val="decimal"/>
      <w:suff w:val="space"/>
      <w:lvlText w:val="%1."/>
      <w:lvlJc w:val="left"/>
    </w:lvl>
  </w:abstractNum>
  <w:abstractNum w:abstractNumId="2">
    <w:nsid w:val="B72BFABF"/>
    <w:multiLevelType w:val="singleLevel"/>
    <w:tmpl w:val="B72BFABF"/>
    <w:lvl w:ilvl="0" w:tentative="0">
      <w:start w:val="1"/>
      <w:numFmt w:val="decimal"/>
      <w:suff w:val="space"/>
      <w:lvlText w:val="%1."/>
      <w:lvlJc w:val="left"/>
      <w:rPr>
        <w:rFonts w:hint="default"/>
        <w:b w:val="0"/>
        <w:bCs w:val="0"/>
      </w:rPr>
    </w:lvl>
  </w:abstractNum>
  <w:abstractNum w:abstractNumId="3">
    <w:nsid w:val="B9A12943"/>
    <w:multiLevelType w:val="singleLevel"/>
    <w:tmpl w:val="B9A12943"/>
    <w:lvl w:ilvl="0" w:tentative="0">
      <w:start w:val="23"/>
      <w:numFmt w:val="decimal"/>
      <w:suff w:val="space"/>
      <w:lvlText w:val="%1."/>
      <w:lvlJc w:val="left"/>
    </w:lvl>
  </w:abstractNum>
  <w:abstractNum w:abstractNumId="4">
    <w:nsid w:val="C9E62EBD"/>
    <w:multiLevelType w:val="singleLevel"/>
    <w:tmpl w:val="C9E62EBD"/>
    <w:lvl w:ilvl="0" w:tentative="0">
      <w:start w:val="1"/>
      <w:numFmt w:val="decimal"/>
      <w:suff w:val="nothing"/>
      <w:lvlText w:val="（%1）"/>
      <w:lvlJc w:val="left"/>
    </w:lvl>
  </w:abstractNum>
  <w:abstractNum w:abstractNumId="5">
    <w:nsid w:val="004689B3"/>
    <w:multiLevelType w:val="singleLevel"/>
    <w:tmpl w:val="004689B3"/>
    <w:lvl w:ilvl="0" w:tentative="0">
      <w:start w:val="10"/>
      <w:numFmt w:val="decimal"/>
      <w:suff w:val="nothing"/>
      <w:lvlText w:val="（%1）"/>
      <w:lvlJc w:val="left"/>
    </w:lvl>
  </w:abstractNum>
  <w:abstractNum w:abstractNumId="6">
    <w:nsid w:val="01440F22"/>
    <w:multiLevelType w:val="singleLevel"/>
    <w:tmpl w:val="01440F22"/>
    <w:lvl w:ilvl="0" w:tentative="0">
      <w:start w:val="28"/>
      <w:numFmt w:val="decimal"/>
      <w:suff w:val="space"/>
      <w:lvlText w:val="%1."/>
      <w:lvlJc w:val="left"/>
      <w:rPr>
        <w:rFonts w:hint="default"/>
        <w:b/>
        <w:bCs/>
      </w:rPr>
    </w:lvl>
  </w:abstractNum>
  <w:abstractNum w:abstractNumId="7">
    <w:nsid w:val="0F3C0246"/>
    <w:multiLevelType w:val="singleLevel"/>
    <w:tmpl w:val="0F3C0246"/>
    <w:lvl w:ilvl="0" w:tentative="0">
      <w:start w:val="2"/>
      <w:numFmt w:val="decimal"/>
      <w:suff w:val="space"/>
      <w:lvlText w:val="%1."/>
      <w:lvlJc w:val="left"/>
      <w:rPr>
        <w:rFonts w:hint="default"/>
        <w:color w:val="auto"/>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420"/>
  <w:drawingGridVerticalSpacing w:val="220"/>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5OWEwMTI3YWZlYzljZTZhNjQ4OTRlN2VkZGE3YWIifQ=="/>
  </w:docVars>
  <w:rsids>
    <w:rsidRoot w:val="00BA0C1A"/>
    <w:rsid w:val="000069AB"/>
    <w:rsid w:val="00033933"/>
    <w:rsid w:val="000764EC"/>
    <w:rsid w:val="000853EC"/>
    <w:rsid w:val="000C0989"/>
    <w:rsid w:val="000C51B7"/>
    <w:rsid w:val="000D2D50"/>
    <w:rsid w:val="00137CEB"/>
    <w:rsid w:val="0015318B"/>
    <w:rsid w:val="00176B1D"/>
    <w:rsid w:val="00216EB9"/>
    <w:rsid w:val="002A51B2"/>
    <w:rsid w:val="002B409D"/>
    <w:rsid w:val="002F2DE3"/>
    <w:rsid w:val="00320F54"/>
    <w:rsid w:val="003251F3"/>
    <w:rsid w:val="0035019E"/>
    <w:rsid w:val="00356DD4"/>
    <w:rsid w:val="003635BD"/>
    <w:rsid w:val="00366E2A"/>
    <w:rsid w:val="00383DC5"/>
    <w:rsid w:val="0038535B"/>
    <w:rsid w:val="00395D05"/>
    <w:rsid w:val="003A29A3"/>
    <w:rsid w:val="003B79C8"/>
    <w:rsid w:val="0041153A"/>
    <w:rsid w:val="004169E3"/>
    <w:rsid w:val="00433280"/>
    <w:rsid w:val="004415BB"/>
    <w:rsid w:val="004801CE"/>
    <w:rsid w:val="00487AD1"/>
    <w:rsid w:val="00492D93"/>
    <w:rsid w:val="004C06C6"/>
    <w:rsid w:val="004E4E04"/>
    <w:rsid w:val="004F21DC"/>
    <w:rsid w:val="004F7762"/>
    <w:rsid w:val="00516CDD"/>
    <w:rsid w:val="00531EF8"/>
    <w:rsid w:val="00557F00"/>
    <w:rsid w:val="00585D7A"/>
    <w:rsid w:val="0059531B"/>
    <w:rsid w:val="005B7CB1"/>
    <w:rsid w:val="005E27C8"/>
    <w:rsid w:val="00616505"/>
    <w:rsid w:val="0062213C"/>
    <w:rsid w:val="00625AA2"/>
    <w:rsid w:val="006302A9"/>
    <w:rsid w:val="00633F40"/>
    <w:rsid w:val="00635935"/>
    <w:rsid w:val="00635E55"/>
    <w:rsid w:val="00653C25"/>
    <w:rsid w:val="006549AD"/>
    <w:rsid w:val="00667512"/>
    <w:rsid w:val="00684D9C"/>
    <w:rsid w:val="006B7427"/>
    <w:rsid w:val="006C4424"/>
    <w:rsid w:val="007069C8"/>
    <w:rsid w:val="00717577"/>
    <w:rsid w:val="00787CD7"/>
    <w:rsid w:val="00796674"/>
    <w:rsid w:val="007F01A0"/>
    <w:rsid w:val="00804D5F"/>
    <w:rsid w:val="00814720"/>
    <w:rsid w:val="00814E96"/>
    <w:rsid w:val="0084590C"/>
    <w:rsid w:val="008672DD"/>
    <w:rsid w:val="008951E5"/>
    <w:rsid w:val="008C6C96"/>
    <w:rsid w:val="00900F27"/>
    <w:rsid w:val="00907B9B"/>
    <w:rsid w:val="0092650B"/>
    <w:rsid w:val="00930D9A"/>
    <w:rsid w:val="009654E8"/>
    <w:rsid w:val="009827DB"/>
    <w:rsid w:val="009867BB"/>
    <w:rsid w:val="009B43FA"/>
    <w:rsid w:val="009D0F07"/>
    <w:rsid w:val="009D36C4"/>
    <w:rsid w:val="009E09C2"/>
    <w:rsid w:val="009F4C79"/>
    <w:rsid w:val="00A101B0"/>
    <w:rsid w:val="00A236E8"/>
    <w:rsid w:val="00A334AE"/>
    <w:rsid w:val="00A37C13"/>
    <w:rsid w:val="00A419EB"/>
    <w:rsid w:val="00A520F0"/>
    <w:rsid w:val="00A60633"/>
    <w:rsid w:val="00A64471"/>
    <w:rsid w:val="00A64F56"/>
    <w:rsid w:val="00A92597"/>
    <w:rsid w:val="00A92CDA"/>
    <w:rsid w:val="00AA08CD"/>
    <w:rsid w:val="00AE202F"/>
    <w:rsid w:val="00B40ADF"/>
    <w:rsid w:val="00B55D73"/>
    <w:rsid w:val="00BA0C1A"/>
    <w:rsid w:val="00BC0AF8"/>
    <w:rsid w:val="00BD664C"/>
    <w:rsid w:val="00C061CB"/>
    <w:rsid w:val="00C1295F"/>
    <w:rsid w:val="00C20785"/>
    <w:rsid w:val="00C44505"/>
    <w:rsid w:val="00C604EC"/>
    <w:rsid w:val="00C81EEF"/>
    <w:rsid w:val="00C979F6"/>
    <w:rsid w:val="00CA557D"/>
    <w:rsid w:val="00CA5D5F"/>
    <w:rsid w:val="00CB7142"/>
    <w:rsid w:val="00CE40DB"/>
    <w:rsid w:val="00D756BA"/>
    <w:rsid w:val="00D97CDD"/>
    <w:rsid w:val="00DC4FF6"/>
    <w:rsid w:val="00DD1E20"/>
    <w:rsid w:val="00DF7FC7"/>
    <w:rsid w:val="00E26251"/>
    <w:rsid w:val="00E27691"/>
    <w:rsid w:val="00E3320E"/>
    <w:rsid w:val="00E4364F"/>
    <w:rsid w:val="00E658FB"/>
    <w:rsid w:val="00E817DC"/>
    <w:rsid w:val="00E818CA"/>
    <w:rsid w:val="00E93929"/>
    <w:rsid w:val="00E97EFE"/>
    <w:rsid w:val="00EA1EE8"/>
    <w:rsid w:val="00EA2330"/>
    <w:rsid w:val="00EA2F02"/>
    <w:rsid w:val="00EA35E1"/>
    <w:rsid w:val="00EF63D4"/>
    <w:rsid w:val="00EF7AE1"/>
    <w:rsid w:val="00F27667"/>
    <w:rsid w:val="00F31FDB"/>
    <w:rsid w:val="00F4412B"/>
    <w:rsid w:val="00F53662"/>
    <w:rsid w:val="00F77383"/>
    <w:rsid w:val="00F80750"/>
    <w:rsid w:val="00FA3983"/>
    <w:rsid w:val="00FB7525"/>
    <w:rsid w:val="00FB793C"/>
    <w:rsid w:val="00FD3E42"/>
    <w:rsid w:val="00FF0BBA"/>
    <w:rsid w:val="01A7022B"/>
    <w:rsid w:val="01BC3E43"/>
    <w:rsid w:val="01F3521E"/>
    <w:rsid w:val="021C5A97"/>
    <w:rsid w:val="02BC004E"/>
    <w:rsid w:val="031A07DD"/>
    <w:rsid w:val="03394EAE"/>
    <w:rsid w:val="03AC0546"/>
    <w:rsid w:val="03C216EF"/>
    <w:rsid w:val="03E030CE"/>
    <w:rsid w:val="04FB468A"/>
    <w:rsid w:val="0568199E"/>
    <w:rsid w:val="058014BF"/>
    <w:rsid w:val="06E73E83"/>
    <w:rsid w:val="070C60A9"/>
    <w:rsid w:val="07146DE7"/>
    <w:rsid w:val="073B4864"/>
    <w:rsid w:val="07583D63"/>
    <w:rsid w:val="07A174CB"/>
    <w:rsid w:val="07F722FE"/>
    <w:rsid w:val="083D07F0"/>
    <w:rsid w:val="089D5D8A"/>
    <w:rsid w:val="08C7182B"/>
    <w:rsid w:val="090B6D35"/>
    <w:rsid w:val="090C0084"/>
    <w:rsid w:val="09987111"/>
    <w:rsid w:val="0A01246E"/>
    <w:rsid w:val="0A2F566C"/>
    <w:rsid w:val="0AB64446"/>
    <w:rsid w:val="0ABD072F"/>
    <w:rsid w:val="0B002889"/>
    <w:rsid w:val="0CE73BD2"/>
    <w:rsid w:val="0CFA3F4C"/>
    <w:rsid w:val="0CFC52E1"/>
    <w:rsid w:val="0D350D46"/>
    <w:rsid w:val="0D3C44CE"/>
    <w:rsid w:val="0D6F6338"/>
    <w:rsid w:val="0F5F5CA1"/>
    <w:rsid w:val="0F9721CD"/>
    <w:rsid w:val="0FA364D6"/>
    <w:rsid w:val="105E3B74"/>
    <w:rsid w:val="10A43607"/>
    <w:rsid w:val="10FA034D"/>
    <w:rsid w:val="117F799B"/>
    <w:rsid w:val="126C393B"/>
    <w:rsid w:val="12DD3F4D"/>
    <w:rsid w:val="142E7B11"/>
    <w:rsid w:val="14991C55"/>
    <w:rsid w:val="14E12885"/>
    <w:rsid w:val="15450608"/>
    <w:rsid w:val="15597637"/>
    <w:rsid w:val="159E4AC4"/>
    <w:rsid w:val="15DD3DC4"/>
    <w:rsid w:val="16DF4031"/>
    <w:rsid w:val="17493DAA"/>
    <w:rsid w:val="183568A3"/>
    <w:rsid w:val="19940C3D"/>
    <w:rsid w:val="19E22DE7"/>
    <w:rsid w:val="19E235C6"/>
    <w:rsid w:val="1B826BC6"/>
    <w:rsid w:val="1B8D3B96"/>
    <w:rsid w:val="1C173243"/>
    <w:rsid w:val="1C2C4424"/>
    <w:rsid w:val="1C427076"/>
    <w:rsid w:val="1C4A7CD9"/>
    <w:rsid w:val="1C9A7C1C"/>
    <w:rsid w:val="1CAE2016"/>
    <w:rsid w:val="1CD54CE6"/>
    <w:rsid w:val="1D17405F"/>
    <w:rsid w:val="1D1945B6"/>
    <w:rsid w:val="1DEC38DC"/>
    <w:rsid w:val="1DF709CD"/>
    <w:rsid w:val="1E163791"/>
    <w:rsid w:val="1E8277F9"/>
    <w:rsid w:val="1F5CF671"/>
    <w:rsid w:val="1F672950"/>
    <w:rsid w:val="1F68625C"/>
    <w:rsid w:val="1FE8583F"/>
    <w:rsid w:val="20552EDE"/>
    <w:rsid w:val="20794974"/>
    <w:rsid w:val="209A4F4C"/>
    <w:rsid w:val="20C9013A"/>
    <w:rsid w:val="215944B7"/>
    <w:rsid w:val="215D400B"/>
    <w:rsid w:val="223965A0"/>
    <w:rsid w:val="22A20D51"/>
    <w:rsid w:val="22B97967"/>
    <w:rsid w:val="22DE4A80"/>
    <w:rsid w:val="26253428"/>
    <w:rsid w:val="26DE799C"/>
    <w:rsid w:val="27747016"/>
    <w:rsid w:val="282D636C"/>
    <w:rsid w:val="28545776"/>
    <w:rsid w:val="28C47B9F"/>
    <w:rsid w:val="29977D32"/>
    <w:rsid w:val="2A6E7CB5"/>
    <w:rsid w:val="2A7523C5"/>
    <w:rsid w:val="2A790107"/>
    <w:rsid w:val="2A8A2314"/>
    <w:rsid w:val="2ACE1AD5"/>
    <w:rsid w:val="2B223422"/>
    <w:rsid w:val="2B5C2D11"/>
    <w:rsid w:val="2CC66F08"/>
    <w:rsid w:val="2CF94C7A"/>
    <w:rsid w:val="2CFB2336"/>
    <w:rsid w:val="2D595FCE"/>
    <w:rsid w:val="2D7B4196"/>
    <w:rsid w:val="2D8F26FD"/>
    <w:rsid w:val="2E7C1D39"/>
    <w:rsid w:val="2F9E5F1A"/>
    <w:rsid w:val="2FB50143"/>
    <w:rsid w:val="30072A7A"/>
    <w:rsid w:val="30404881"/>
    <w:rsid w:val="30456175"/>
    <w:rsid w:val="30BB0763"/>
    <w:rsid w:val="31503DFE"/>
    <w:rsid w:val="316457B8"/>
    <w:rsid w:val="317D6557"/>
    <w:rsid w:val="31C0486E"/>
    <w:rsid w:val="3213059C"/>
    <w:rsid w:val="32213310"/>
    <w:rsid w:val="32411572"/>
    <w:rsid w:val="32FE0BBB"/>
    <w:rsid w:val="32FE26AE"/>
    <w:rsid w:val="333C27FE"/>
    <w:rsid w:val="33A0107D"/>
    <w:rsid w:val="33DE722D"/>
    <w:rsid w:val="3550029C"/>
    <w:rsid w:val="35F40F8A"/>
    <w:rsid w:val="36361376"/>
    <w:rsid w:val="36500E3E"/>
    <w:rsid w:val="36506264"/>
    <w:rsid w:val="36772279"/>
    <w:rsid w:val="36BA4900"/>
    <w:rsid w:val="372D4AFB"/>
    <w:rsid w:val="3812066C"/>
    <w:rsid w:val="38823C68"/>
    <w:rsid w:val="38D35A4C"/>
    <w:rsid w:val="38F541C3"/>
    <w:rsid w:val="39EE2638"/>
    <w:rsid w:val="3A1219DE"/>
    <w:rsid w:val="3A6C1D7C"/>
    <w:rsid w:val="3A7BB403"/>
    <w:rsid w:val="3A916DA7"/>
    <w:rsid w:val="3AC23D63"/>
    <w:rsid w:val="3B6C0268"/>
    <w:rsid w:val="3BBB2E9D"/>
    <w:rsid w:val="3DFFEE1E"/>
    <w:rsid w:val="3E0C4997"/>
    <w:rsid w:val="3E2218D4"/>
    <w:rsid w:val="3E29379B"/>
    <w:rsid w:val="3F1513B7"/>
    <w:rsid w:val="3F7F4384"/>
    <w:rsid w:val="3FB97AFF"/>
    <w:rsid w:val="3FC54224"/>
    <w:rsid w:val="3FD5DD78"/>
    <w:rsid w:val="40707BEE"/>
    <w:rsid w:val="40AC7F09"/>
    <w:rsid w:val="40D42630"/>
    <w:rsid w:val="411B4DEA"/>
    <w:rsid w:val="41BB6849"/>
    <w:rsid w:val="420F27A7"/>
    <w:rsid w:val="4221645C"/>
    <w:rsid w:val="42420C08"/>
    <w:rsid w:val="42B16613"/>
    <w:rsid w:val="42C704E2"/>
    <w:rsid w:val="434067C1"/>
    <w:rsid w:val="438159AA"/>
    <w:rsid w:val="438533CF"/>
    <w:rsid w:val="43BD6057"/>
    <w:rsid w:val="44056B2A"/>
    <w:rsid w:val="44130C97"/>
    <w:rsid w:val="454A2974"/>
    <w:rsid w:val="45954624"/>
    <w:rsid w:val="468743DE"/>
    <w:rsid w:val="46BF4C52"/>
    <w:rsid w:val="47FCFC4D"/>
    <w:rsid w:val="48360F8E"/>
    <w:rsid w:val="4851401A"/>
    <w:rsid w:val="485A1E6F"/>
    <w:rsid w:val="48825F81"/>
    <w:rsid w:val="48F76E74"/>
    <w:rsid w:val="490879F6"/>
    <w:rsid w:val="4A342856"/>
    <w:rsid w:val="4A391CED"/>
    <w:rsid w:val="4A8379D5"/>
    <w:rsid w:val="4AAB009E"/>
    <w:rsid w:val="4AB52062"/>
    <w:rsid w:val="4AB640C6"/>
    <w:rsid w:val="4AB93913"/>
    <w:rsid w:val="4C177328"/>
    <w:rsid w:val="4C3631E9"/>
    <w:rsid w:val="4C5913C0"/>
    <w:rsid w:val="4CB91BE4"/>
    <w:rsid w:val="4CF17B79"/>
    <w:rsid w:val="4D905399"/>
    <w:rsid w:val="4E473EF5"/>
    <w:rsid w:val="4F155D64"/>
    <w:rsid w:val="4F5C067C"/>
    <w:rsid w:val="4FA848B0"/>
    <w:rsid w:val="4FF13AB6"/>
    <w:rsid w:val="50103E0B"/>
    <w:rsid w:val="505D505E"/>
    <w:rsid w:val="517C262B"/>
    <w:rsid w:val="51C74A28"/>
    <w:rsid w:val="5214298C"/>
    <w:rsid w:val="52C264D5"/>
    <w:rsid w:val="53161DEC"/>
    <w:rsid w:val="534019DF"/>
    <w:rsid w:val="53D425C3"/>
    <w:rsid w:val="547C2BFD"/>
    <w:rsid w:val="560B220D"/>
    <w:rsid w:val="568D20C3"/>
    <w:rsid w:val="56FA3BF5"/>
    <w:rsid w:val="57306D60"/>
    <w:rsid w:val="57BA0164"/>
    <w:rsid w:val="583F7C73"/>
    <w:rsid w:val="593B627E"/>
    <w:rsid w:val="59DD570D"/>
    <w:rsid w:val="5A160DF5"/>
    <w:rsid w:val="5B2D2391"/>
    <w:rsid w:val="5BA525C9"/>
    <w:rsid w:val="5BE221A7"/>
    <w:rsid w:val="5DAA3B58"/>
    <w:rsid w:val="5DC56BE4"/>
    <w:rsid w:val="5DF212ED"/>
    <w:rsid w:val="5ED32D55"/>
    <w:rsid w:val="5EFD0600"/>
    <w:rsid w:val="607D5554"/>
    <w:rsid w:val="60DA190E"/>
    <w:rsid w:val="60F85B32"/>
    <w:rsid w:val="610C6D8B"/>
    <w:rsid w:val="613C087B"/>
    <w:rsid w:val="62E84915"/>
    <w:rsid w:val="634C5CEC"/>
    <w:rsid w:val="64CF3219"/>
    <w:rsid w:val="66272ECC"/>
    <w:rsid w:val="66D5C88F"/>
    <w:rsid w:val="66EB42F0"/>
    <w:rsid w:val="67384A15"/>
    <w:rsid w:val="674982E4"/>
    <w:rsid w:val="678278F4"/>
    <w:rsid w:val="67DFD406"/>
    <w:rsid w:val="681E3063"/>
    <w:rsid w:val="68917805"/>
    <w:rsid w:val="6A186B20"/>
    <w:rsid w:val="6A4D5744"/>
    <w:rsid w:val="6ABF6769"/>
    <w:rsid w:val="6ACC09B7"/>
    <w:rsid w:val="6B085B2F"/>
    <w:rsid w:val="6B121CE0"/>
    <w:rsid w:val="6B321121"/>
    <w:rsid w:val="6B651ED6"/>
    <w:rsid w:val="6C3F1BFC"/>
    <w:rsid w:val="6D562990"/>
    <w:rsid w:val="6D6007E1"/>
    <w:rsid w:val="6D827448"/>
    <w:rsid w:val="6E1D0376"/>
    <w:rsid w:val="6E336341"/>
    <w:rsid w:val="6E987B71"/>
    <w:rsid w:val="6EAF13B0"/>
    <w:rsid w:val="6FDC3986"/>
    <w:rsid w:val="71061E72"/>
    <w:rsid w:val="718516D5"/>
    <w:rsid w:val="718A11B3"/>
    <w:rsid w:val="71D46F9E"/>
    <w:rsid w:val="71DD7BDC"/>
    <w:rsid w:val="72451265"/>
    <w:rsid w:val="72681446"/>
    <w:rsid w:val="72691A36"/>
    <w:rsid w:val="73895E5F"/>
    <w:rsid w:val="73CF6B39"/>
    <w:rsid w:val="7473485A"/>
    <w:rsid w:val="74A17736"/>
    <w:rsid w:val="75FF9951"/>
    <w:rsid w:val="765204F8"/>
    <w:rsid w:val="76952D0A"/>
    <w:rsid w:val="76DC6DE3"/>
    <w:rsid w:val="77581424"/>
    <w:rsid w:val="77696C20"/>
    <w:rsid w:val="77F5F948"/>
    <w:rsid w:val="782347DB"/>
    <w:rsid w:val="788723DD"/>
    <w:rsid w:val="798D5157"/>
    <w:rsid w:val="79B17189"/>
    <w:rsid w:val="79E94F3B"/>
    <w:rsid w:val="7A3B2499"/>
    <w:rsid w:val="7A67609D"/>
    <w:rsid w:val="7AFE2003"/>
    <w:rsid w:val="7BE2345F"/>
    <w:rsid w:val="7C4649C2"/>
    <w:rsid w:val="7D2D3A06"/>
    <w:rsid w:val="7DB46326"/>
    <w:rsid w:val="7E3D61BE"/>
    <w:rsid w:val="7EBFA2DB"/>
    <w:rsid w:val="7ED700CE"/>
    <w:rsid w:val="7EF3CDDA"/>
    <w:rsid w:val="7FBF4BF4"/>
    <w:rsid w:val="7FEF59D5"/>
    <w:rsid w:val="7FFFE802"/>
    <w:rsid w:val="8BBC702C"/>
    <w:rsid w:val="936F3F58"/>
    <w:rsid w:val="9E77B10B"/>
    <w:rsid w:val="ABD78882"/>
    <w:rsid w:val="B3C7E9AA"/>
    <w:rsid w:val="B6FB7668"/>
    <w:rsid w:val="B7FDA5BB"/>
    <w:rsid w:val="D75F1AEE"/>
    <w:rsid w:val="DDECEC90"/>
    <w:rsid w:val="DE9F4D79"/>
    <w:rsid w:val="DF9AAE0B"/>
    <w:rsid w:val="DFDB06E0"/>
    <w:rsid w:val="DFFFF3DD"/>
    <w:rsid w:val="EBFB6F13"/>
    <w:rsid w:val="EF777549"/>
    <w:rsid w:val="F67F4F93"/>
    <w:rsid w:val="F6FB5544"/>
    <w:rsid w:val="F758BAE7"/>
    <w:rsid w:val="FD6ECBE4"/>
    <w:rsid w:val="FEA4ADA8"/>
    <w:rsid w:val="FEAFC3E6"/>
    <w:rsid w:val="FF3A5E5F"/>
    <w:rsid w:val="FF5E45DB"/>
    <w:rsid w:val="FFE72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560" w:firstLineChars="200"/>
      <w:jc w:val="both"/>
    </w:pPr>
    <w:rPr>
      <w:rFonts w:ascii="Times New Roman" w:hAnsi="Times New Roman" w:eastAsia="仿宋" w:cstheme="minorBidi"/>
      <w:kern w:val="2"/>
      <w:sz w:val="32"/>
      <w:szCs w:val="32"/>
      <w:lang w:val="en-US" w:eastAsia="zh-CN" w:bidi="ar-SA"/>
    </w:rPr>
  </w:style>
  <w:style w:type="paragraph" w:styleId="4">
    <w:name w:val="heading 1"/>
    <w:basedOn w:val="1"/>
    <w:next w:val="1"/>
    <w:qFormat/>
    <w:uiPriority w:val="9"/>
    <w:pPr>
      <w:keepNext/>
      <w:keepLines/>
      <w:spacing w:before="240" w:after="240" w:line="408" w:lineRule="auto"/>
      <w:ind w:firstLine="0" w:firstLineChars="0"/>
      <w:jc w:val="left"/>
      <w:outlineLvl w:val="0"/>
    </w:pPr>
    <w:rPr>
      <w:b/>
      <w:bCs/>
      <w:color w:val="000000"/>
      <w:kern w:val="44"/>
      <w:sz w:val="44"/>
      <w:szCs w:val="44"/>
    </w:rPr>
  </w:style>
  <w:style w:type="paragraph" w:styleId="5">
    <w:name w:val="heading 2"/>
    <w:basedOn w:val="1"/>
    <w:next w:val="1"/>
    <w:unhideWhenUsed/>
    <w:qFormat/>
    <w:uiPriority w:val="9"/>
    <w:pPr>
      <w:keepNext/>
      <w:keepLines/>
      <w:jc w:val="left"/>
      <w:outlineLvl w:val="1"/>
    </w:pPr>
    <w:rPr>
      <w:rFonts w:eastAsia="楷体" w:asciiTheme="majorHAnsi" w:hAnsiTheme="majorHAnsi" w:cstheme="majorBidi"/>
      <w:b/>
      <w:bCs/>
      <w:color w:val="000000"/>
    </w:rPr>
  </w:style>
  <w:style w:type="paragraph" w:styleId="6">
    <w:name w:val="heading 3"/>
    <w:basedOn w:val="1"/>
    <w:next w:val="1"/>
    <w:unhideWhenUsed/>
    <w:qFormat/>
    <w:uiPriority w:val="9"/>
    <w:pPr>
      <w:keepNext/>
      <w:keepLines/>
      <w:spacing w:line="360" w:lineRule="auto"/>
      <w:outlineLvl w:val="2"/>
    </w:pPr>
    <w:rPr>
      <w:b/>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120"/>
      <w:ind w:firstLine="100" w:firstLineChars="100"/>
    </w:pPr>
    <w:rPr>
      <w:sz w:val="21"/>
    </w:rPr>
  </w:style>
  <w:style w:type="paragraph" w:styleId="3">
    <w:name w:val="Body Text"/>
    <w:basedOn w:val="1"/>
    <w:next w:val="2"/>
    <w:qFormat/>
    <w:uiPriority w:val="1"/>
    <w:pPr>
      <w:ind w:left="315"/>
    </w:pPr>
    <w:rPr>
      <w:rFonts w:ascii="华光仿宋二_CNKI" w:hAnsi="华光仿宋二_CNKI" w:eastAsia="华光仿宋二_CNKI" w:cs="华光仿宋二_CNKI"/>
      <w:sz w:val="30"/>
      <w:szCs w:val="30"/>
      <w:lang w:val="zh-CN" w:bidi="zh-CN"/>
    </w:rPr>
  </w:style>
  <w:style w:type="paragraph" w:styleId="7">
    <w:name w:val="annotation text"/>
    <w:basedOn w:val="1"/>
    <w:link w:val="30"/>
    <w:semiHidden/>
    <w:unhideWhenUsed/>
    <w:qFormat/>
    <w:uiPriority w:val="99"/>
    <w:pPr>
      <w:jc w:val="left"/>
    </w:pPr>
  </w:style>
  <w:style w:type="paragraph" w:styleId="8">
    <w:name w:val="Body Text Indent"/>
    <w:basedOn w:val="1"/>
    <w:qFormat/>
    <w:uiPriority w:val="0"/>
    <w:pPr>
      <w:spacing w:after="120"/>
      <w:ind w:left="420" w:leftChars="200"/>
    </w:pPr>
  </w:style>
  <w:style w:type="paragraph" w:styleId="9">
    <w:name w:val="toc 3"/>
    <w:basedOn w:val="1"/>
    <w:next w:val="1"/>
    <w:semiHidden/>
    <w:unhideWhenUsed/>
    <w:qFormat/>
    <w:uiPriority w:val="39"/>
    <w:pPr>
      <w:ind w:left="840" w:leftChars="400"/>
    </w:pPr>
  </w:style>
  <w:style w:type="paragraph" w:styleId="10">
    <w:name w:val="Balloon Text"/>
    <w:basedOn w:val="1"/>
    <w:link w:val="29"/>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jc w:val="left"/>
    </w:pPr>
    <w:rPr>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ind w:left="420" w:leftChars="200"/>
    </w:pPr>
  </w:style>
  <w:style w:type="paragraph" w:styleId="15">
    <w:name w:val="Normal (Web)"/>
    <w:basedOn w:val="1"/>
    <w:qFormat/>
    <w:uiPriority w:val="0"/>
    <w:rPr>
      <w:sz w:val="24"/>
    </w:rPr>
  </w:style>
  <w:style w:type="paragraph" w:styleId="16">
    <w:name w:val="Body Text First Indent 2"/>
    <w:basedOn w:val="8"/>
    <w:next w:val="17"/>
    <w:qFormat/>
    <w:uiPriority w:val="0"/>
    <w:pPr>
      <w:ind w:firstLine="420"/>
    </w:pPr>
  </w:style>
  <w:style w:type="paragraph" w:customStyle="1" w:styleId="17">
    <w:name w:val="样式1"/>
    <w:basedOn w:val="1"/>
    <w:qFormat/>
    <w:uiPriority w:val="0"/>
    <w:pPr>
      <w:ind w:firstLine="200"/>
    </w:pPr>
    <w:rPr>
      <w:rFonts w:eastAsia="仿宋_GB2312"/>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Emphasis"/>
    <w:basedOn w:val="20"/>
    <w:qFormat/>
    <w:uiPriority w:val="20"/>
    <w:rPr>
      <w:i/>
    </w:rPr>
  </w:style>
  <w:style w:type="character" w:styleId="22">
    <w:name w:val="Hyperlink"/>
    <w:basedOn w:val="20"/>
    <w:unhideWhenUsed/>
    <w:qFormat/>
    <w:uiPriority w:val="99"/>
    <w:rPr>
      <w:color w:val="0000FF" w:themeColor="hyperlink"/>
      <w:u w:val="single"/>
      <w14:textFill>
        <w14:solidFill>
          <w14:schemeClr w14:val="hlink"/>
        </w14:solidFill>
      </w14:textFill>
    </w:rPr>
  </w:style>
  <w:style w:type="character" w:styleId="23">
    <w:name w:val="annotation reference"/>
    <w:basedOn w:val="20"/>
    <w:semiHidden/>
    <w:unhideWhenUsed/>
    <w:qFormat/>
    <w:uiPriority w:val="99"/>
    <w:rPr>
      <w:sz w:val="21"/>
      <w:szCs w:val="21"/>
    </w:rPr>
  </w:style>
  <w:style w:type="paragraph" w:customStyle="1" w:styleId="24">
    <w:name w:val="1.2.1标题"/>
    <w:basedOn w:val="1"/>
    <w:qFormat/>
    <w:uiPriority w:val="0"/>
    <w:pPr>
      <w:ind w:firstLine="0" w:firstLineChars="0"/>
      <w:outlineLvl w:val="2"/>
    </w:pPr>
    <w:rPr>
      <w:rFonts w:hint="eastAsia" w:cs="Times New Roman"/>
      <w:b/>
      <w:sz w:val="28"/>
      <w:szCs w:val="28"/>
    </w:rPr>
  </w:style>
  <w:style w:type="character" w:customStyle="1" w:styleId="25">
    <w:name w:val="页眉 Char"/>
    <w:basedOn w:val="20"/>
    <w:link w:val="12"/>
    <w:semiHidden/>
    <w:qFormat/>
    <w:uiPriority w:val="99"/>
    <w:rPr>
      <w:sz w:val="18"/>
      <w:szCs w:val="18"/>
    </w:rPr>
  </w:style>
  <w:style w:type="character" w:customStyle="1" w:styleId="26">
    <w:name w:val="页脚 Char"/>
    <w:basedOn w:val="20"/>
    <w:link w:val="11"/>
    <w:qFormat/>
    <w:uiPriority w:val="99"/>
    <w:rPr>
      <w:sz w:val="18"/>
      <w:szCs w:val="18"/>
    </w:rPr>
  </w:style>
  <w:style w:type="paragraph" w:customStyle="1" w:styleId="27">
    <w:name w:val="列出段落1"/>
    <w:basedOn w:val="1"/>
    <w:qFormat/>
    <w:uiPriority w:val="34"/>
    <w:pPr>
      <w:ind w:firstLine="420"/>
    </w:pPr>
  </w:style>
  <w:style w:type="paragraph" w:customStyle="1" w:styleId="28">
    <w:name w:val="TOC 标题1"/>
    <w:basedOn w:val="4"/>
    <w:next w:val="1"/>
    <w:unhideWhenUsed/>
    <w:qFormat/>
    <w:uiPriority w:val="39"/>
    <w:pPr>
      <w:widowControl/>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20"/>
    <w:link w:val="10"/>
    <w:semiHidden/>
    <w:qFormat/>
    <w:uiPriority w:val="99"/>
    <w:rPr>
      <w:kern w:val="2"/>
      <w:sz w:val="18"/>
      <w:szCs w:val="18"/>
    </w:rPr>
  </w:style>
  <w:style w:type="character" w:customStyle="1" w:styleId="30">
    <w:name w:val="批注文字 Char"/>
    <w:basedOn w:val="20"/>
    <w:link w:val="7"/>
    <w:semiHidden/>
    <w:qFormat/>
    <w:uiPriority w:val="99"/>
    <w:rPr>
      <w:kern w:val="2"/>
      <w:sz w:val="21"/>
      <w:szCs w:val="22"/>
    </w:rPr>
  </w:style>
  <w:style w:type="paragraph" w:styleId="31">
    <w:name w:val="List Paragraph"/>
    <w:basedOn w:val="1"/>
    <w:qFormat/>
    <w:uiPriority w:val="1"/>
    <w:pPr>
      <w:ind w:left="315" w:right="165" w:firstLine="600"/>
    </w:pPr>
    <w:rPr>
      <w:rFonts w:ascii="华光仿宋二_CNKI" w:hAnsi="华光仿宋二_CNKI" w:eastAsia="华光仿宋二_CNKI" w:cs="华光仿宋二_CNKI"/>
      <w:lang w:val="zh-CN" w:bidi="zh-CN"/>
    </w:rPr>
  </w:style>
  <w:style w:type="paragraph" w:customStyle="1" w:styleId="32">
    <w:name w:val="表1.1.1"/>
    <w:basedOn w:val="1"/>
    <w:qFormat/>
    <w:uiPriority w:val="0"/>
    <w:pPr>
      <w:tabs>
        <w:tab w:val="center" w:pos="4153"/>
        <w:tab w:val="right" w:pos="8306"/>
      </w:tabs>
      <w:snapToGrid w:val="0"/>
      <w:jc w:val="left"/>
    </w:pPr>
    <w:rPr>
      <w:b/>
      <w:sz w:val="28"/>
    </w:rPr>
  </w:style>
  <w:style w:type="paragraph" w:customStyle="1" w:styleId="33">
    <w:name w:val="1.1标题"/>
    <w:basedOn w:val="1"/>
    <w:next w:val="1"/>
    <w:qFormat/>
    <w:uiPriority w:val="0"/>
    <w:pPr>
      <w:ind w:firstLine="0" w:firstLineChars="0"/>
      <w:jc w:val="left"/>
      <w:outlineLvl w:val="1"/>
    </w:pPr>
    <w:rPr>
      <w:rFonts w:eastAsia="黑体"/>
      <w:b/>
      <w:sz w:val="30"/>
    </w:rPr>
  </w:style>
  <w:style w:type="paragraph" w:customStyle="1" w:styleId="3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5">
    <w:name w:val="Table Paragraph"/>
    <w:basedOn w:val="1"/>
    <w:qFormat/>
    <w:uiPriority w:val="1"/>
    <w:rPr>
      <w:rFonts w:eastAsia="Times New Roman" w:cs="Times New Roman"/>
      <w:lang w:val="zh-CN" w:bidi="zh-CN"/>
    </w:rPr>
  </w:style>
  <w:style w:type="paragraph" w:customStyle="1" w:styleId="36">
    <w:name w:val="标题1.1.1.1"/>
    <w:basedOn w:val="1"/>
    <w:qFormat/>
    <w:uiPriority w:val="0"/>
    <w:pPr>
      <w:spacing w:line="560" w:lineRule="exact"/>
      <w:ind w:firstLine="200"/>
      <w:jc w:val="left"/>
      <w:outlineLvl w:val="3"/>
    </w:pPr>
    <w:rPr>
      <w:rFonts w:ascii="仿宋_GB2312" w:hAnsi="仿宋_GB2312" w:cs="宋体"/>
      <w:b/>
      <w:szCs w:val="20"/>
    </w:rPr>
  </w:style>
  <w:style w:type="character" w:customStyle="1" w:styleId="37">
    <w:name w:val="font61"/>
    <w:basedOn w:val="20"/>
    <w:qFormat/>
    <w:uiPriority w:val="0"/>
    <w:rPr>
      <w:rFonts w:hint="eastAsia" w:ascii="宋体" w:hAnsi="宋体" w:eastAsia="宋体" w:cs="宋体"/>
      <w:color w:val="000000"/>
      <w:sz w:val="16"/>
      <w:szCs w:val="16"/>
      <w:u w:val="none"/>
    </w:rPr>
  </w:style>
  <w:style w:type="character" w:customStyle="1" w:styleId="38">
    <w:name w:val="font81"/>
    <w:basedOn w:val="20"/>
    <w:qFormat/>
    <w:uiPriority w:val="0"/>
    <w:rPr>
      <w:rFonts w:hint="eastAsia" w:ascii="宋体" w:hAnsi="宋体" w:eastAsia="宋体" w:cs="宋体"/>
      <w:b/>
      <w:bCs/>
      <w:color w:val="000000"/>
      <w:sz w:val="16"/>
      <w:szCs w:val="16"/>
      <w:u w:val="none"/>
    </w:rPr>
  </w:style>
  <w:style w:type="character" w:customStyle="1" w:styleId="39">
    <w:name w:val="font31"/>
    <w:basedOn w:val="20"/>
    <w:qFormat/>
    <w:uiPriority w:val="0"/>
    <w:rPr>
      <w:rFonts w:hint="default" w:ascii="Times New Roman" w:hAnsi="Times New Roman" w:cs="Times New Roman"/>
      <w:color w:val="000000"/>
      <w:sz w:val="16"/>
      <w:szCs w:val="16"/>
      <w:u w:val="none"/>
    </w:rPr>
  </w:style>
  <w:style w:type="character" w:customStyle="1" w:styleId="40">
    <w:name w:val="font41"/>
    <w:basedOn w:val="20"/>
    <w:qFormat/>
    <w:uiPriority w:val="0"/>
    <w:rPr>
      <w:rFonts w:hint="eastAsia" w:ascii="仿宋" w:hAnsi="仿宋" w:eastAsia="仿宋" w:cs="仿宋"/>
      <w:color w:val="000000"/>
      <w:sz w:val="16"/>
      <w:szCs w:val="16"/>
      <w:u w:val="none"/>
    </w:rPr>
  </w:style>
  <w:style w:type="character" w:customStyle="1" w:styleId="41">
    <w:name w:val="font21"/>
    <w:basedOn w:val="20"/>
    <w:qFormat/>
    <w:uiPriority w:val="0"/>
    <w:rPr>
      <w:rFonts w:hint="eastAsia" w:ascii="宋体" w:hAnsi="宋体" w:eastAsia="宋体" w:cs="宋体"/>
      <w:color w:val="000000"/>
      <w:sz w:val="16"/>
      <w:szCs w:val="16"/>
      <w:u w:val="none"/>
    </w:rPr>
  </w:style>
  <w:style w:type="paragraph" w:customStyle="1" w:styleId="42">
    <w:name w:val="附表-表格内容"/>
    <w:basedOn w:val="1"/>
    <w:qFormat/>
    <w:uiPriority w:val="0"/>
    <w:pPr>
      <w:widowControl/>
      <w:spacing w:line="240" w:lineRule="auto"/>
      <w:ind w:firstLine="0" w:firstLineChars="0"/>
      <w:jc w:val="center"/>
    </w:pPr>
    <w:rPr>
      <w:rFonts w:ascii="仿宋_GB2312" w:hAnsi="宋体" w:eastAsia="仿宋_GB2312" w:cs="宋体"/>
      <w:sz w:val="18"/>
      <w:szCs w:val="18"/>
    </w:rPr>
  </w:style>
  <w:style w:type="character" w:customStyle="1" w:styleId="43">
    <w:name w:val="font01"/>
    <w:basedOn w:val="20"/>
    <w:qFormat/>
    <w:uiPriority w:val="0"/>
    <w:rPr>
      <w:rFonts w:hint="eastAsia" w:ascii="宋体" w:hAnsi="宋体" w:eastAsia="宋体" w:cs="宋体"/>
      <w:color w:val="000000"/>
      <w:sz w:val="18"/>
      <w:szCs w:val="18"/>
      <w:u w:val="none"/>
    </w:rPr>
  </w:style>
  <w:style w:type="character" w:customStyle="1" w:styleId="44">
    <w:name w:val="font11"/>
    <w:basedOn w:val="20"/>
    <w:qFormat/>
    <w:uiPriority w:val="0"/>
    <w:rPr>
      <w:rFonts w:hint="default" w:ascii="Times New Roman" w:hAnsi="Times New Roman" w:cs="Times New Roman"/>
      <w:color w:val="000000"/>
      <w:sz w:val="18"/>
      <w:szCs w:val="18"/>
      <w:u w:val="none"/>
    </w:rPr>
  </w:style>
  <w:style w:type="paragraph" w:customStyle="1" w:styleId="45">
    <w:name w:val="WPSOffice手动目录 1"/>
    <w:qFormat/>
    <w:uiPriority w:val="0"/>
    <w:rPr>
      <w:rFonts w:ascii="Times New Roman" w:hAnsi="Times New Roman" w:eastAsia="宋体" w:cs="Times New Roman"/>
      <w:lang w:val="en-US" w:eastAsia="zh-CN" w:bidi="ar-SA"/>
    </w:rPr>
  </w:style>
  <w:style w:type="paragraph" w:customStyle="1" w:styleId="46">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36312</Words>
  <Characters>40274</Characters>
  <Lines>329</Lines>
  <Paragraphs>92</Paragraphs>
  <TotalTime>0</TotalTime>
  <ScaleCrop>false</ScaleCrop>
  <LinksUpToDate>false</LinksUpToDate>
  <CharactersWithSpaces>40660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2022-01-23T00:09:00Z</dcterms:created>
  <dc:creator>Tencent</dc:creator>
  <cp:lastModifiedBy>Administrator</cp:lastModifiedBy>
  <cp:lastPrinted>2022-05-06T11:49:00Z</cp:lastPrinted>
  <dcterms:modified xsi:type="dcterms:W3CDTF">2022-05-06T07:48:07Z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4D2502860D5A481CAC0967C848D7DA64</vt:lpwstr>
  </property>
</Properties>
</file>